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6"/>
      </w:tblGrid>
      <w:tr w:rsidR="003C07ED" w:rsidTr="003C07ED">
        <w:tc>
          <w:tcPr>
            <w:tcW w:w="2689" w:type="dxa"/>
          </w:tcPr>
          <w:p w:rsidR="003C07ED" w:rsidRDefault="003C07ED" w:rsidP="003C07E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9C0E98" wp14:editId="49C4D706">
                  <wp:extent cx="1554355" cy="1028700"/>
                  <wp:effectExtent l="0" t="0" r="8255" b="0"/>
                  <wp:docPr id="2" name="Рисунок 2" descr="&amp;Gcy;&amp;ocy;&amp;scy;&amp;ucy;&amp;dcy;&amp;acy;&amp;rcy;&amp;scy;&amp;tcy;&amp;vcy;&amp;ucy; &amp;ncy;&amp;iecy;&amp;ocy;&amp;bcy;&amp;khcy;&amp;ocy;&amp;dcy;&amp;icy;&amp;mcy;&amp;ocy; &amp;vcy;&amp;iecy;&amp;rcy;&amp;ncy;&amp;ucy;&amp;tcy;&amp;softcy; &amp;kcy;&amp;ocy;&amp;ncy;&amp;tcy;&amp;rcy;&amp;ocy;&amp;lcy;&amp;softcy; &amp;ncy;&amp;acy;&amp;dcy; &amp;lcy;&amp;iecy;&amp;scy;&amp;ncy;&amp;ycy;&amp;mcy;&amp;icy; &amp;bcy;&amp;ocy;&amp;gcy;&amp;acy;&amp;tcy;&amp;scy;&amp;tcy;&amp;vcy;&amp;acy;&amp;mcy;&amp;icy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Gcy;&amp;ocy;&amp;scy;&amp;ucy;&amp;dcy;&amp;acy;&amp;rcy;&amp;scy;&amp;tcy;&amp;vcy;&amp;ucy; &amp;ncy;&amp;iecy;&amp;ocy;&amp;bcy;&amp;khcy;&amp;ocy;&amp;dcy;&amp;icy;&amp;mcy;&amp;ocy; &amp;vcy;&amp;iecy;&amp;rcy;&amp;ncy;&amp;ucy;&amp;tcy;&amp;softcy; &amp;kcy;&amp;ocy;&amp;ncy;&amp;tcy;&amp;rcy;&amp;ocy;&amp;lcy;&amp;softcy; &amp;ncy;&amp;acy;&amp;dcy; &amp;lcy;&amp;iecy;&amp;scy;&amp;ncy;&amp;ycy;&amp;mcy;&amp;icy; &amp;bcy;&amp;ocy;&amp;gcy;&amp;acy;&amp;tcy;&amp;scy;&amp;tcy;&amp;vcy;&amp;acy;&amp;mcy;&amp;icy;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226" cy="1053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6" w:type="dxa"/>
          </w:tcPr>
          <w:p w:rsidR="003C07ED" w:rsidRPr="003C07ED" w:rsidRDefault="003C07ED" w:rsidP="003C07E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C07E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Татьяна Анатольевна Гигель </w:t>
            </w:r>
          </w:p>
          <w:p w:rsidR="003C07ED" w:rsidRPr="003C07ED" w:rsidRDefault="003C07ED" w:rsidP="003C07E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C07ED">
              <w:rPr>
                <w:rFonts w:ascii="Times New Roman" w:hAnsi="Times New Roman" w:cs="Times New Roman"/>
                <w:sz w:val="24"/>
                <w:szCs w:val="24"/>
              </w:rPr>
              <w:t>Член Комитета Совета Федерации по аграрно-продовольственной политике и природопользованию</w:t>
            </w:r>
          </w:p>
        </w:tc>
      </w:tr>
    </w:tbl>
    <w:p w:rsidR="003C07ED" w:rsidRDefault="003C07ED" w:rsidP="003C07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C07ED" w:rsidRPr="003C07ED" w:rsidRDefault="003C07ED" w:rsidP="003C07E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3C07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Государству необходимо вернуть контроль над лесными богатствами </w:t>
      </w:r>
    </w:p>
    <w:p w:rsidR="003C07ED" w:rsidRPr="003C07ED" w:rsidRDefault="003C07ED" w:rsidP="003C0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C0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Совете Федерации предложили дополнить Стратегию по развитию лесопромышленного комплекса (ЛПК) до 2030 года тремя направлениями: реструктуризацией лесозаготовительной промышленности, курсом на возрождение науки и восстановлением отечественного машиностроения. О том, для чего это нужно, «Парламентской газете» рассказала член Комитета палаты регионов по аграрно-продовольственной политике и природопользованию </w:t>
      </w:r>
      <w:hyperlink r:id="rId5" w:history="1">
        <w:r w:rsidRPr="003C07E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Татьяна Гигель</w:t>
        </w:r>
      </w:hyperlink>
      <w:r w:rsidRPr="003C0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C07ED" w:rsidRPr="003C07ED" w:rsidRDefault="003C07ED" w:rsidP="003C0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Татьяна Анатольевна, вклад лесопромышленного комплекса в ВВП страны с 1990 года сократился в 3,5 раза. С чем это связано?</w:t>
      </w:r>
    </w:p>
    <w:p w:rsidR="003C07ED" w:rsidRPr="003C07ED" w:rsidRDefault="003C07ED" w:rsidP="003C0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E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Деградация ЛПК является следствием целого комплекса причин. Одна из главных причин, по мнению экспертного сообщества, — утрата органа управления лесопромышленным комплексом как самостоятельной структуры. Вторая причина — развал базовой отрасли ЛПК — лесозаготовительной промышленности. В годы перестройки пошла активная приватизация: крупные леспромхозы развалились на множество мелких хозяйств.</w:t>
      </w:r>
    </w:p>
    <w:p w:rsidR="003C07ED" w:rsidRPr="003C07ED" w:rsidRDefault="003C07ED" w:rsidP="003C0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Казалось бы, пришёл частный инвестор, который должен просчитывать каждую копейку и эффективно использовать федеральные лесные ресурсы. Но, к сожалению, как показывает статистика и анализ, только единицы лесопромышленных комплексов держатся на плаву. В основе же своей крупные леспромхозы попросту прекратили существование. Одновременно произошло серьёзное сокращение финансирования со стороны государства на строительство лесных дорог, лесоустройство, лесопатологические исследования и так далее.</w:t>
      </w:r>
    </w:p>
    <w:p w:rsidR="003C07ED" w:rsidRPr="003C07ED" w:rsidRDefault="003C07ED" w:rsidP="003C0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Что, по вашему мнению, сегодня необходимо сделать для восстановления ЛПК?</w:t>
      </w:r>
    </w:p>
    <w:p w:rsidR="003C07ED" w:rsidRPr="003C07ED" w:rsidRDefault="003C07ED" w:rsidP="003C0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Одна из самых важных задач лесопромышленного комплекса — реструктуризация лесозаготовительной промышленности. Без проявления побудительной воли государства реструктуризация отрасли может затянуться на десятилетия: владельцев некоторых малых предприятий их положение вполне устраивает — на хлеб с маслом они зарабатывают. А вот государство </w:t>
      </w:r>
      <w:r w:rsidRPr="003C07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такое положение устраивать не может. Леса России — федеральная собственность. И эффективное использование этой собственности — прямая обязанность государства. Необходима политика, направленная на стимулирование интеграции и модернизации лесозаготовительной промышленности. Эта политика должна проводиться на федеральном, региональном и местном уровнях.</w:t>
      </w:r>
    </w:p>
    <w:p w:rsidR="003C07ED" w:rsidRPr="003C07ED" w:rsidRDefault="003C07ED" w:rsidP="003C0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ED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один важный пункт — создание самостоятельного органа регулирования лесной отрасли. Сегодня вопросы, связанные с лесопромышленным комплексом, рассматриваются в нескольких ведомствах — ими занимаются и в Минприроды, и в Минэкономики, и в Минпроме. И получается, как в поговорке «у семи нянек дитя без глазу». А ведь когда-то было одно отраслевое министерство, которое занималось всем - начиная от науки и заканчивая реальным сектором экономики!</w:t>
      </w:r>
    </w:p>
    <w:p w:rsidR="003C07ED" w:rsidRPr="003C07ED" w:rsidRDefault="003C07ED" w:rsidP="003C0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385623" w:themeColor="accent6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85623" w:themeColor="accent6" w:themeShade="80"/>
          <w:sz w:val="28"/>
          <w:szCs w:val="28"/>
          <w:lang w:eastAsia="ru-RU"/>
        </w:rPr>
        <w:t xml:space="preserve">◊ </w:t>
      </w:r>
      <w:r w:rsidRPr="003C07ED">
        <w:rPr>
          <w:rFonts w:ascii="Times New Roman" w:eastAsia="Times New Roman" w:hAnsi="Times New Roman" w:cs="Times New Roman"/>
          <w:b/>
          <w:i/>
          <w:color w:val="385623" w:themeColor="accent6" w:themeShade="80"/>
          <w:sz w:val="28"/>
          <w:szCs w:val="28"/>
          <w:lang w:eastAsia="ru-RU"/>
        </w:rPr>
        <w:t>Леса России — федеральная собственность. И эффективное использование этой собственности — прямая обязанность государства.</w:t>
      </w:r>
    </w:p>
    <w:p w:rsidR="003C07ED" w:rsidRPr="003C07ED" w:rsidRDefault="003C07ED" w:rsidP="003C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E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может быть два пути. Нужна либо очень грамотная координация работы указанных министерств и ведомств, либо должен быть один хозяин, который бы эффективно, грамотно, по-государственному использовал бы эти природные ресурсы. По мнению экспертного сообщества, примером грамотного решения этой проблемы могут служить лесные комитеты (департаменты) многих регионов страны, в которых совместно работают специалисты лесного хозяйства и лесной промышленности. Единый орган управления можно практически без затрат создать на базе Федерального агентства лесного хозяйства. Да и успех реализации новой Стратегии развития лесопромышленного комплекса, которую сейчас разрабатывают по заказу Минпромторга, напрямую зависит от наличия общего стратега. В противном случае разработка новой стратегии столкнется при реализации с теми же трудностями, о чём красноречиво говорят результаты реализации Стратегии-2020.</w:t>
      </w:r>
    </w:p>
    <w:p w:rsidR="003C07ED" w:rsidRPr="003C07ED" w:rsidRDefault="003C07ED" w:rsidP="003C0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Чем новая стратегия принципиально отличается от Стратегии-2020?</w:t>
      </w:r>
    </w:p>
    <w:p w:rsidR="003C07ED" w:rsidRPr="003C07ED" w:rsidRDefault="003C07ED" w:rsidP="003C0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ED">
        <w:rPr>
          <w:rFonts w:ascii="Times New Roman" w:eastAsia="Times New Roman" w:hAnsi="Times New Roman" w:cs="Times New Roman"/>
          <w:sz w:val="28"/>
          <w:szCs w:val="28"/>
          <w:lang w:eastAsia="ru-RU"/>
        </w:rPr>
        <w:t>- Нынешняя стратегия на первый взгляд составлена профессионально, в ней ставятся амбициозные задачи, в основном по развитию лесоперерабатывающего производства. Но в ней, как и в Стратегии-2020, не выявлена отрасль, неудовлетворительная работа которой является главной причиной плохой работы всех других отраслей. Речь идёт о базовой отрасли ЛПК — лесозаготовительной промышленности, которая в значительной степени разрушена в процессе перехода на рыночные отношения.</w:t>
      </w:r>
    </w:p>
    <w:p w:rsidR="003C07ED" w:rsidRPr="003C07ED" w:rsidRDefault="003C07ED" w:rsidP="003C0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сырьё — это самая большая статья затрат в себестоимости производства всех видов лесобумажной продукции, она достигает 35 процентов. Устранение проблем этой отрасли (ЛПК — прим. ред.) позволит </w:t>
      </w:r>
      <w:r w:rsidRPr="003C07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повысить эффективность работы всех других отраслей. Между тем разработчики стратегии не включили эту отрасль в документ и предложили оказывать государственную поддержку неудовлетворительно работающим отраслям ЛПК, включая целлюлозно-бумажную промышленность, что совершенно нереально исходя из объёмов необходимых для этого финансовых ресурсов. Нам удалось добиться включения лесозаготовительной промышленности в последнюю редакцию стратегии, однако анализ проблем этой отрасли и предложения по их устранению в ней отсутствуют.</w:t>
      </w:r>
    </w:p>
    <w:p w:rsidR="003C07ED" w:rsidRPr="003C07ED" w:rsidRDefault="003C07ED" w:rsidP="003C0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ED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в последней версии Стратегии-2030 отсутствуют и предложения по восстановлению науки ЛПК, которая разрушена, лесного машиностроения. А главное - не даются рекомендации по совершенствованию системы управления лесным комплексом. Поэтому мы опасаемся, что для ЛПК продолжатся нелёгкие времена.</w:t>
      </w:r>
    </w:p>
    <w:p w:rsidR="003C07ED" w:rsidRPr="003C07ED" w:rsidRDefault="003C07ED" w:rsidP="003C0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Вы упомянули необходимость восстановления науки. Речь о возрождении отраслевых научных институтов?</w:t>
      </w:r>
    </w:p>
    <w:p w:rsidR="003C07ED" w:rsidRPr="003C07ED" w:rsidRDefault="003C07ED" w:rsidP="003C0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E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Весь мировой опыт, в том числе опыт бывшего СССР, где много внимания уделялось научным разработкам, свидетельствует о корреляции развития науки и эффективности производства. Между тем интенсивность исследований по тематикам лесного комплекса в России находится на крайне низком уровне.</w:t>
      </w:r>
    </w:p>
    <w:p w:rsidR="003C07ED" w:rsidRPr="003C07ED" w:rsidRDefault="003C07ED" w:rsidP="003C0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385623" w:themeColor="accent6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85623" w:themeColor="accent6" w:themeShade="80"/>
          <w:sz w:val="28"/>
          <w:szCs w:val="28"/>
          <w:lang w:eastAsia="ru-RU"/>
        </w:rPr>
        <w:t xml:space="preserve">◊ </w:t>
      </w:r>
      <w:r w:rsidRPr="003C07ED">
        <w:rPr>
          <w:rFonts w:ascii="Times New Roman" w:eastAsia="Times New Roman" w:hAnsi="Times New Roman" w:cs="Times New Roman"/>
          <w:b/>
          <w:i/>
          <w:color w:val="385623" w:themeColor="accent6" w:themeShade="80"/>
          <w:sz w:val="28"/>
          <w:szCs w:val="28"/>
          <w:lang w:eastAsia="ru-RU"/>
        </w:rPr>
        <w:t>Нам удалось добиться включения лесозаготовительной промышленности в последнюю редакцию стратегии, однако анализ проблем этой отрасли и предложения по их устранению в ней отсутствуют.</w:t>
      </w:r>
    </w:p>
    <w:p w:rsidR="003C07ED" w:rsidRPr="003C07ED" w:rsidRDefault="003C07ED" w:rsidP="003C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ED">
        <w:rPr>
          <w:rFonts w:ascii="Times New Roman" w:eastAsia="Times New Roman" w:hAnsi="Times New Roman" w:cs="Times New Roman"/>
          <w:sz w:val="28"/>
          <w:szCs w:val="28"/>
          <w:lang w:eastAsia="ru-RU"/>
        </w:rPr>
        <w:t>​Расходы на НИОКР составляют от 0,01 до 0,1 процента отраслевого ВВП, что существенно ниже среднего зарубежного уровня — 1,4 процента, и уровня стран-лидеров (Финляндия — 2 процента, Норвегия — 3,1 процента). Причём более всего пострадала наука ЛПК, численность кадров которой сегодня составляет всего несколько десятков человек. А без возрождения науки ЛПК эффективная реализация стратегии невозможна.</w:t>
      </w:r>
    </w:p>
    <w:p w:rsidR="003C07ED" w:rsidRPr="003C07ED" w:rsidRDefault="003C07ED" w:rsidP="003C0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Чем со своей стороны могут помочь развитию ЛПК парламентарии?</w:t>
      </w:r>
    </w:p>
    <w:p w:rsidR="003C07ED" w:rsidRPr="003C07ED" w:rsidRDefault="003C07ED" w:rsidP="003C0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E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экспертов Совета Федерации направлена на устранение ошибок, допущенных в Стратегии развития лесопромышленного комплекса до 2030 года. Её, по нашему мнению, необходимо дополнить тремя базовыми направлениями, благодаря которым вся стратегия будет успешна: уделить достойное место лесозаготовительной промышленности как базовой отрасли ЛПК, взять курс на возрождение науки и отечественного машиностроения.</w:t>
      </w:r>
    </w:p>
    <w:p w:rsidR="003C07ED" w:rsidRPr="003C07ED" w:rsidRDefault="003C07ED" w:rsidP="003C0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следует продолжить работу по дополнению нормативно-правовой базы. В последние три года в Лесной кодекс внесено много изменений и дополнений, но следует признать, что этого недостаточно. Например, предстоит детально проанализировать условия аренды лесных участков и её эффективность. В договорах аренды должны быть прописаны обязательства арендаторов не только по увеличению объёмов производства, но и по лесовосстановлению и развитию лесозаготовительных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3C07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редприятий деревообрабатывающих производств, как это делают в Канаде.</w:t>
      </w:r>
    </w:p>
    <w:p w:rsidR="003C07ED" w:rsidRPr="003C07ED" w:rsidRDefault="003C07ED" w:rsidP="003C0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Татьяна Анатольевна, а есть ли надежда на то, что в случае принятия продуманной стратегии лесопромышленный комплекс восстановится в обозримом будущем?</w:t>
      </w:r>
    </w:p>
    <w:p w:rsidR="003C07ED" w:rsidRPr="003C07ED" w:rsidRDefault="003C07ED" w:rsidP="003C07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ED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Лесное хозяйство способно восстановиться в кратчайшие сроки — как это произошло с отечественным сельским хозяйством в условиях санкций и политики импортозамещения. Просто государство должно грамотно подходить к координации и планированию, строить лесохозяйственные дороги, возрождать отраслевую науку, поднимать на прежний уровень отечественное машиностроение и заняться работами по лесоустройству. Я говорю не о монополизации производства, а о возможности успешного государственно-частного партнёрства. Потому что лес — это государственные ресурсы. И государство должно ставить задачи, чтобы иметь доход от того, что оно эти лесные ресурсы сегодня передаёт бизнесу.</w:t>
      </w:r>
    </w:p>
    <w:p w:rsidR="00BC7A39" w:rsidRDefault="00BC7A39" w:rsidP="003C07ED">
      <w:pPr>
        <w:jc w:val="both"/>
        <w:rPr>
          <w:sz w:val="28"/>
          <w:szCs w:val="28"/>
        </w:rPr>
      </w:pPr>
    </w:p>
    <w:p w:rsidR="003C07ED" w:rsidRPr="003C07ED" w:rsidRDefault="003C07ED" w:rsidP="003C07ED">
      <w:pPr>
        <w:jc w:val="both"/>
        <w:rPr>
          <w:rFonts w:ascii="Times New Roman" w:hAnsi="Times New Roman" w:cs="Times New Roman"/>
          <w:sz w:val="28"/>
          <w:szCs w:val="28"/>
        </w:rPr>
      </w:pPr>
      <w:r w:rsidRPr="003C07ED">
        <w:rPr>
          <w:rFonts w:ascii="Times New Roman" w:hAnsi="Times New Roman" w:cs="Times New Roman"/>
          <w:sz w:val="28"/>
          <w:szCs w:val="28"/>
        </w:rPr>
        <w:t>Источник: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C07ED">
          <w:rPr>
            <w:rStyle w:val="a4"/>
            <w:rFonts w:ascii="Times New Roman" w:hAnsi="Times New Roman" w:cs="Times New Roman"/>
            <w:sz w:val="28"/>
            <w:szCs w:val="28"/>
          </w:rPr>
          <w:t>Парламентская газета</w:t>
        </w:r>
      </w:hyperlink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C07ED" w:rsidRPr="003C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ED"/>
    <w:rsid w:val="00231682"/>
    <w:rsid w:val="003529AA"/>
    <w:rsid w:val="003C07ED"/>
    <w:rsid w:val="00B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09F66-442B-4D3A-9CEF-20B45471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07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np.ru/economics/gosudarstvu-neobkhodimo-vernut-kontrol-nad-lesnymi-bogatstvami.html" TargetMode="External"/><Relationship Id="rId5" Type="http://schemas.openxmlformats.org/officeDocument/2006/relationships/hyperlink" Target="http://www.pnp.ru/person/tatyana--gige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1261</Words>
  <Characters>7189</Characters>
  <Application>Microsoft Office Word</Application>
  <DocSecurity>0</DocSecurity>
  <Lines>59</Lines>
  <Paragraphs>16</Paragraphs>
  <ScaleCrop>false</ScaleCrop>
  <Company/>
  <LinksUpToDate>false</LinksUpToDate>
  <CharactersWithSpaces>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2</cp:revision>
  <dcterms:created xsi:type="dcterms:W3CDTF">2017-10-30T13:43:00Z</dcterms:created>
  <dcterms:modified xsi:type="dcterms:W3CDTF">2017-10-30T13:54:00Z</dcterms:modified>
</cp:coreProperties>
</file>