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344A" w:rsidRDefault="004F64A1">
      <w:pPr>
        <w:spacing w:line="240" w:lineRule="auto"/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>ОБЗОР ИЗМЕНЕНИЙ ЗАКОНОДАТЕЛЬСТВА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47750" cy="107632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344A" w:rsidRDefault="004F64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И ПРАВОПРИМЕНИТЕЛЬНОЙ ПРАКТИКИ</w:t>
      </w:r>
    </w:p>
    <w:p w:rsidR="005C344A" w:rsidRDefault="004F64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(информация за период с 14 по 30 сентября 2015г.)</w:t>
      </w:r>
    </w:p>
    <w:p w:rsidR="005C344A" w:rsidRDefault="005C344A">
      <w:pPr>
        <w:spacing w:line="240" w:lineRule="auto"/>
        <w:jc w:val="center"/>
      </w:pPr>
    </w:p>
    <w:p w:rsidR="005C344A" w:rsidRDefault="005C344A">
      <w:pPr>
        <w:spacing w:line="240" w:lineRule="auto"/>
        <w:ind w:left="2268"/>
        <w:jc w:val="both"/>
      </w:pPr>
    </w:p>
    <w:p w:rsidR="005C344A" w:rsidRDefault="004F64A1">
      <w:pPr>
        <w:numPr>
          <w:ilvl w:val="0"/>
          <w:numId w:val="2"/>
        </w:numPr>
        <w:spacing w:line="360" w:lineRule="auto"/>
        <w:ind w:left="4962" w:hanging="127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Законопроекты, рассмотренные Государственной Думой РФ:</w:t>
      </w:r>
    </w:p>
    <w:p w:rsidR="005C344A" w:rsidRDefault="004F64A1">
      <w:pPr>
        <w:keepNext/>
        <w:spacing w:before="240" w:after="60" w:line="240" w:lineRule="auto"/>
        <w:jc w:val="center"/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третьем чтении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C344A" w:rsidRDefault="004F64A1">
      <w:pPr>
        <w:keepNext/>
        <w:spacing w:before="240"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первом чтении.</w:t>
      </w:r>
    </w:p>
    <w:p w:rsidR="005C344A" w:rsidRDefault="004F64A1">
      <w:pPr>
        <w:spacing w:line="240" w:lineRule="auto"/>
        <w:jc w:val="center"/>
      </w:pPr>
      <w:hyperlink r:id="rId8" w:anchor="_2.3.Законопроекты,_принятые_в�"/>
    </w:p>
    <w:p w:rsidR="005C344A" w:rsidRDefault="004F64A1">
      <w:pPr>
        <w:numPr>
          <w:ilvl w:val="0"/>
          <w:numId w:val="2"/>
        </w:numPr>
        <w:tabs>
          <w:tab w:val="left" w:pos="567"/>
        </w:tabs>
        <w:spacing w:line="240" w:lineRule="auto"/>
        <w:ind w:left="-142" w:firstLine="113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4" w:name="h.3znysh7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Законопроекты, внесенные в Государственную Думу РФ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.</w:t>
      </w:r>
    </w:p>
    <w:p w:rsidR="005C344A" w:rsidRDefault="005C344A">
      <w:pPr>
        <w:spacing w:line="240" w:lineRule="auto"/>
        <w:jc w:val="center"/>
      </w:pPr>
    </w:p>
    <w:p w:rsidR="005C344A" w:rsidRDefault="004F64A1">
      <w:pPr>
        <w:numPr>
          <w:ilvl w:val="0"/>
          <w:numId w:val="2"/>
        </w:numPr>
        <w:spacing w:line="240" w:lineRule="auto"/>
        <w:ind w:left="426" w:hanging="7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Правоприменительная практика.</w:t>
      </w:r>
    </w:p>
    <w:p w:rsidR="005C344A" w:rsidRDefault="005C344A">
      <w:pPr>
        <w:spacing w:line="240" w:lineRule="auto"/>
        <w:ind w:left="720"/>
      </w:pPr>
    </w:p>
    <w:p w:rsidR="005C344A" w:rsidRDefault="004F64A1">
      <w:pPr>
        <w:numPr>
          <w:ilvl w:val="0"/>
          <w:numId w:val="2"/>
        </w:numPr>
        <w:spacing w:line="36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6" w:name="h.tyjcwt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События.</w:t>
      </w:r>
    </w:p>
    <w:p w:rsidR="005C344A" w:rsidRDefault="004F64A1">
      <w:pPr>
        <w:keepNext/>
        <w:spacing w:before="240" w:after="60" w:line="240" w:lineRule="auto"/>
        <w:ind w:left="360"/>
        <w:jc w:val="center"/>
      </w:pPr>
      <w:bookmarkStart w:id="7" w:name="h.3dy6vkm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1. Государственной Думой РФ рассмотрены следующие законопроекты:</w:t>
      </w:r>
    </w:p>
    <w:p w:rsidR="005C344A" w:rsidRDefault="004F64A1">
      <w:pPr>
        <w:keepNext/>
        <w:spacing w:before="240"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Законопроекты, принятые в третьем чтении</w:t>
      </w:r>
    </w:p>
    <w:p w:rsidR="005C344A" w:rsidRDefault="005C344A">
      <w:pPr>
        <w:spacing w:line="240" w:lineRule="auto"/>
        <w:ind w:left="180"/>
        <w:jc w:val="center"/>
      </w:pPr>
    </w:p>
    <w:tbl>
      <w:tblPr>
        <w:tblStyle w:val="a5"/>
        <w:tblW w:w="15581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6229"/>
        <w:gridCol w:w="2649"/>
        <w:gridCol w:w="6120"/>
      </w:tblGrid>
      <w:tr w:rsidR="005C344A">
        <w:tc>
          <w:tcPr>
            <w:tcW w:w="0" w:type="auto"/>
          </w:tcPr>
          <w:p w:rsidR="005C344A" w:rsidRDefault="005C344A">
            <w:pPr>
              <w:spacing w:line="240" w:lineRule="auto"/>
            </w:pP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наименование законопроекта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 права законодательной</w:t>
            </w:r>
          </w:p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инициативы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5C344A">
        <w:tc>
          <w:tcPr>
            <w:tcW w:w="0" w:type="auto"/>
          </w:tcPr>
          <w:p w:rsidR="005C344A" w:rsidRDefault="005C344A">
            <w:pPr>
              <w:spacing w:line="240" w:lineRule="auto"/>
            </w:pPr>
            <w:bookmarkStart w:id="8" w:name="h.1t3h5sf" w:colFirst="0" w:colLast="0"/>
            <w:bookmarkEnd w:id="8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602468-6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в Федеральный закон "О защите конкуренции", иные законодательные акты Российской Федерации и признании утратившими силу отдельных положений законодательных актов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8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закрепляется норма, предусматривающая нераспространение его положений Федерального закона «О защите конкуренции» на отношения, урегулированные едиными правилами конкуренции на трансграничных рынках, контроль соблюдения которых относится к компетенции Евра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зийской экономической комиссии в соответствии с международным договором РФ. Устанавливаются новшества, определяющие понятие недобросовестной конкуренции, условия запрета на недобросовестную конкуренцию путем дискредитации, введения в заблуждение, некоррект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сравнения, запрета на недобросовестную конкуренцию, связанную с приобретением и использованием исключительного права на средства индивидуализации юридического лица, средства индивидуализации товаров, работ и услуг. Полномочия антимонопольного органа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ополняются функциями по контролю за предоставлением и использованием государственных или муниципальных преференций. Уточняется состав лиц, участвующих в рассмотрении дела о нарушении антимонопольного законодательства, порядок отвода членов комиссии по 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мотрению такого дела, порядок доступа лиц, участвующих в рассмотрении дела к материалам дела, содержащим коммерческую тайну. В соответствии с изменениями, вносимыми в Федеральный закон «О естественных монополиях» органы регулирования естественных монополий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государственный контроль за любыми сделками, в результате которых субъект естественной монополии, у которого доход от осуществляемой деятельности в сферах естественных монополий превышает 1% общего объема его дохода, приобретает право собстве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в соответствии с указанным Федеральным законом, если балансовая стоимость таких основных средств превышае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10% стоимости собственного капитала субъекта естественной монополии.</w:t>
            </w:r>
          </w:p>
        </w:tc>
      </w:tr>
    </w:tbl>
    <w:p w:rsidR="005C344A" w:rsidRDefault="005C344A">
      <w:pPr>
        <w:keepNext/>
        <w:spacing w:before="240" w:after="60" w:line="240" w:lineRule="auto"/>
        <w:jc w:val="center"/>
      </w:pPr>
      <w:bookmarkStart w:id="9" w:name="h.4d34og8" w:colFirst="0" w:colLast="0"/>
      <w:bookmarkEnd w:id="9"/>
    </w:p>
    <w:p w:rsidR="005C344A" w:rsidRDefault="005C344A">
      <w:pPr>
        <w:spacing w:line="240" w:lineRule="auto"/>
      </w:pPr>
    </w:p>
    <w:p w:rsidR="005C344A" w:rsidRDefault="004F64A1">
      <w:pPr>
        <w:keepNext/>
        <w:spacing w:before="240"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Законопроекты, принятые в первом чтении</w:t>
      </w:r>
    </w:p>
    <w:p w:rsidR="005C344A" w:rsidRDefault="005C344A">
      <w:pPr>
        <w:spacing w:line="240" w:lineRule="auto"/>
        <w:jc w:val="center"/>
      </w:pPr>
    </w:p>
    <w:tbl>
      <w:tblPr>
        <w:tblStyle w:val="a6"/>
        <w:tblW w:w="15564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966"/>
        <w:gridCol w:w="2734"/>
        <w:gridCol w:w="5558"/>
        <w:gridCol w:w="2731"/>
      </w:tblGrid>
      <w:tr w:rsidR="005C344A">
        <w:tc>
          <w:tcPr>
            <w:tcW w:w="0" w:type="auto"/>
          </w:tcPr>
          <w:p w:rsidR="005C344A" w:rsidRDefault="005C344A">
            <w:pPr>
              <w:spacing w:line="240" w:lineRule="auto"/>
            </w:pP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наименование законопроекта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5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344A">
        <w:tc>
          <w:tcPr>
            <w:tcW w:w="0" w:type="auto"/>
          </w:tcPr>
          <w:p w:rsidR="005C344A" w:rsidRDefault="005C344A">
            <w:pPr>
              <w:spacing w:line="240" w:lineRule="auto"/>
            </w:pP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658443-6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статью 142 Трудового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Государственной Думы В.Г.Соловьев, Н.И.Васильев и др.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акона статья 142 Трудового кодекса Российской Федерации дополняется положением, предусматривающим сохранение за работником среднего заработка на период приостановления работы в связи с задержкой выплаты заработной платы на срок свыше 15 дней.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381"/>
              <w:jc w:val="both"/>
            </w:pP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Заключение РСПП</w:t>
              </w:r>
            </w:hyperlink>
            <w:hyperlink r:id="rId12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13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672438-6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признании утратившими силу пунктов 2 и 3 части 2 статьи 49 Градостроительного кодекса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Государственной Думы В.Ф.Шрейдер, С.Г.Каргинов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Проектом федерального закона из числа объектов капитального строительства экспертиза в отношении проектной документации которых не проводится, исключаются: </w:t>
            </w:r>
          </w:p>
          <w:p w:rsidR="005C344A" w:rsidRDefault="004F64A1">
            <w:pPr>
              <w:spacing w:line="240" w:lineRule="auto"/>
              <w:ind w:firstLine="5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жилые дома с количеством этажей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участке и имеет выход на территорию общего пользования (жилые дома блокированной застройки);</w:t>
            </w:r>
          </w:p>
          <w:p w:rsidR="005C344A" w:rsidRDefault="004F64A1">
            <w:pPr>
              <w:spacing w:line="240" w:lineRule="auto"/>
              <w:ind w:firstLine="5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многоквартирные дома с количеством этажей не более чем три, состоящие из одной или нескольких блок-секций, количество которых не превышает четыре, в каждой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строительному комп-лексу</w:t>
              </w:r>
            </w:hyperlink>
            <w:hyperlink r:id="rId16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17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732450-6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статьи 49 и 60 Градостроительного кодекса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Государственной Думы М.Л.Шаккум, А.И.Фокин и др.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исключается обязательное требование о проведении 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пертизы проектной документации в отношении разделов проектной документации, подготовленных для проведения капитального ремонта объектов капитального строительства (за исключением проектной документации, подготовленной для проведения капитального ремонта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 дорог общего пользования), а также в случаях, если: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строительства, реконструкции не требуется получение разрешения на строительство;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строительства, реконструкции объектов капитального строительства применяется повторно проектная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ументация объектов капитального строительства, получившая положительное заключение государственной экспертизы или негосударственной экспертизы (далее - типовая проектная документация);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строительства, реконструкции объектов капитального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применяется модификация типовой проектной документации, не затрагивающая конструктивных и других характеристик надежности и безопасности объектов капитального строительства;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строительства, реконструкции объектов капитального строительства, за исключе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линейных объектов, применяется модификация получившей положительное заключение экспертизы проектной документации (в том числе отдельных разделов проектной документации), не снижающая конструктивных и других характеристик надежности и безопасности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ктов капитального строительства, не изменяющая их качественные и функциональные характеристики, а также в случае, если строительство, реконструкция указанных объектов капитального строительства финансируются за счет средств соответствующих бюджетов, при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ловии, что указанная модификация проектной документации не приводит к увеличению сметы на строительство, реконструкцию;</w:t>
            </w:r>
          </w:p>
          <w:p w:rsidR="005C344A" w:rsidRDefault="004F64A1">
            <w:pPr>
              <w:tabs>
                <w:tab w:val="left" w:pos="1080"/>
              </w:tabs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строительства, реконструкции линейных объектов применяется модификация получившей положительное заключение экспертизы проектной документации (в том числе отдельных разделов проектной документации), не снижающая конструктивных и других характеристик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адежности и безопасности линейных объектов и не изменяющая их качественных и функциональных характеристик, при условии, что указанная модификация проектной документации не приводит к увеличению сметы на строительство, реконструкцию линейных объектов.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3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одготовки позиции РСПП законо-проект направлен в </w:t>
            </w:r>
            <w:hyperlink r:id="rId1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строительному комп-лексу</w:t>
              </w:r>
            </w:hyperlink>
            <w:hyperlink r:id="rId20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21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817991-6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Федеральный закон "О защите конкуренции" и иные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 исключается из Федерального закона «О защите конкуренции» норма, предусматривающая возможность признания доминирующего положения хозяйствующего субъекта, если его доля на рынке определенного товара не превышает 35%, за исключе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случаев коллективного доминирования, а также случаев, прямо предусмотренных законодательством Российской Федерации.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быть признано доминирующим положение хозяйствующего субъекта - юридического лица, учредителем которого являются одно физическо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лицо (в том числе индивидуальный предприниматель) или несколько физических лиц, если выручка от реализации товаров (работ, услуг) за предшествующий календарный год такого хозяйствующего субъекта не превышает четырехсот миллионов рублей.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разви-тию конкуренции</w:t>
              </w:r>
            </w:hyperlink>
            <w:hyperlink r:id="rId24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25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821534-6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Федеральный закон "О закупках товаров, работ, услуг отдельными видами юридических лиц"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устанавливается исчерпывающий перечень конкурентных способов осуществления закупки, а также основных требований к порядку осуществления закупок указанными способами. Предусматривается право хозяйственных обществ, а также их дочерних хозяйственных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присоединяться к положению о закупке основных хозяйственных обществ. Исключается обязанность заказчиков размещать на официальном сайте при закупке у единственного поставщика (подрядчика (исполнителя) документацию о закупке, протоколы, составленные в 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закупки, проекты договоров.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hyperlink r:id="rId2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разви-тию конкуренции</w:t>
              </w:r>
            </w:hyperlink>
            <w:hyperlink r:id="rId28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29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821579-6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Федеральный закон "О контрактной системе в сфере закупок товаров, работ, услуг для обеспечения государственных и муниципа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льных нужд"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закрепляется возможность применения мер стимулирования деятельности в сфере промышленности путем предоставления заказчикам права закупать у производителя как у единственного поставщика товары, производство которых создается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модернизируется и (или) осваивается на территории РФ на условиях, установленных решением Правительства РФ.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3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разви-тию конкуренции</w:t>
              </w:r>
            </w:hyperlink>
            <w:hyperlink r:id="rId32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33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777087-6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Федеральный закон "Об обязательном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траховании гражданской ответственности владельца опасного объекта за причинение вреда в результате аварии на опасном объекте"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закона: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увеличиваются размеры страховых и компенсационных выплат в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возмещения вреда, причиненного имуществу физических лиц, с 360 до 500 тыс. рублей, имуществу юридических лиц с 500 до 750 тыс. рублей;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увеличивается максимальный размер страховой суммы с 10 млн. до 100 млн. рублей для шахт угольной промышленности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объектов ведения подземных горных работ с численностью наибольшей рабочей смены более 50 человек, 50 млн. рублей – для аналогичных объектов с численностью менее 50 человек;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расширяется перечень выгодоприобретателей, имеющих право на возмещение вреда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результате смерти потерпевшего, а именно предусматривается осуществление страховых выплат супругу (супруге), родителям, детям умершего и гражданам, у которых потерпевший находился на иждивении, при отсутствии у потерпевшего иждивенцев;</w:t>
            </w:r>
          </w:p>
          <w:p w:rsidR="005C344A" w:rsidRDefault="004F64A1">
            <w:pPr>
              <w:spacing w:line="240" w:lineRule="auto"/>
              <w:ind w:left="19" w:right="14"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совершенствуется регулирование страховых тарифов путем предоставления Банку России права установления тарифного коридора.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3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про-мышленной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безопас-ности</w:t>
              </w:r>
            </w:hyperlink>
            <w:hyperlink r:id="rId36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37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688038-6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статьи 346-45 и 346-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 части второй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Законодательное Собрание Челябинской области; Депутат Государственной Думы Р.М.Марданшин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left="19" w:right="14"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Проектом федерального закона предлагается исключить из условий, при которых налогоплательщик утрачивает право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патентной системы налогообложения (пункт 6 статьи 346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Федерации), несвоевременную оплату патента. Ответственность за несвоевременную оплату патента будет наступать по общему основанию в виде пени за каждый календа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рный день просрочки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(статья 75 Налогового кодекса Российской Федерации).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3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налоговой политике</w:t>
              </w:r>
            </w:hyperlink>
            <w:hyperlink r:id="rId40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41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776943-6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Федеральный закон "О банках и банковской деятельности"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left="19" w:right="14"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устанавливаются с 1 июля 2015 года единые для всех небанковских кредитных организаций требования к размеру уставного капитала (в отношении вновь регистрируемых) и к размеру собственных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(капитала) (в отношении действующих) в сумме 90 млн. рублей. Предусматривается переходный период для небанковских кредитных организаций, имеющих на 1 июля 2015 г. размер собственных средств (капитала) ниже 90 млн. рублей, на продолжение деятельности при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словии недопущения снижения размера собственных средств (капитала) ниже уровня, достигнутого на 1 июля 2015 г., с последующим доведением размера собственных средств (капитала) к 1 июля 2018 г. до уровня не менее 90 млн. рублей.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законо-проект направлен в </w:t>
            </w:r>
            <w:hyperlink r:id="rId4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банкам и банковской деятельности</w:t>
              </w:r>
            </w:hyperlink>
            <w:hyperlink r:id="rId44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45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4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801288-6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Налоговый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федерального закона предусматривает предоставление субъекту Российской Федерации права снижать вплоть до 10 процентов ставки налога на прибыль организаций в части поступающего в бюджет субъекта Российской Федерации для участников региональных инвест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иционных проектов. Также предусмотрена возможность обнуления для таких налогоплательщиков ставки по налогу на прибыль организаций.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4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налогов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ой политике</w:t>
              </w:r>
            </w:hyperlink>
            <w:hyperlink r:id="rId48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49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5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822516-6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Кодекс Российской Федерац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предлагается исключить часть 4 статьи 16.1 КоАП РФ, предусматривающую ответственность за представление недействительных документов, которые могли послуж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основанием для несоблюдения установленных запретов и ограничений, на этапах, предшествующих таможенному декларированию товаров и их выпуску. Предусмотрено дополнение примечания к статье 16.2 КоАП РФ нормой, предусматривающей освобождение декларанта либ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таможенного представителя от административной ответственности по части 1 статьи 16.2 Кодекса в случае самостоятельного выявления после выпуска товаров нарушений, допущенных при таможенном декларировании товаров и добровольном сообщении в таможенный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осуществивший выпуск товаров, сведений о недекларировании товаров. При этом лица будут освобождаться от ответственности, если в отношении таких товаров не проводятся проверочные мероприятия, не выявлены административные правонарушения и отсутствует задол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женность по уплате таможенных платежей.</w:t>
            </w:r>
          </w:p>
          <w:p w:rsidR="005C344A" w:rsidRDefault="005C344A">
            <w:pPr>
              <w:spacing w:line="240" w:lineRule="auto"/>
              <w:ind w:left="19" w:right="14" w:firstLine="709"/>
              <w:jc w:val="both"/>
            </w:pP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подготовки позиции РСПП законо-проект направлен в Комитет РСПП по интеграции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торгово-таможенной  политике и ВТО</w:t>
            </w:r>
          </w:p>
        </w:tc>
      </w:tr>
      <w:tr w:rsidR="005C344A">
        <w:tc>
          <w:tcPr>
            <w:tcW w:w="0" w:type="auto"/>
          </w:tcPr>
          <w:p w:rsidR="005C344A" w:rsidRDefault="005C344A">
            <w:pPr>
              <w:spacing w:line="240" w:lineRule="auto"/>
            </w:pP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5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800660-6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изменения в часть 1 статьи 131 Федерального закона "О таможенном регулировании в Российской Федерации"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предлагается освободить от уплаты таможенных сборов за совершение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йствий, связанных с выпуском товаров, валюту государств – членов Таможенного союза, иностранную валюту (за исключением используемой для нумизматических целей), а также ценные бумаги, выпушенные в обращение.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</w:t>
            </w:r>
          </w:p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РСПП</w:t>
            </w:r>
          </w:p>
        </w:tc>
      </w:tr>
      <w:tr w:rsidR="005C344A">
        <w:tc>
          <w:tcPr>
            <w:tcW w:w="0" w:type="auto"/>
          </w:tcPr>
          <w:p w:rsidR="005C344A" w:rsidRDefault="005C344A">
            <w:pPr>
              <w:spacing w:line="240" w:lineRule="auto"/>
            </w:pPr>
          </w:p>
        </w:tc>
        <w:bookmarkStart w:id="10" w:name="h.2s8eyo1" w:colFirst="0" w:colLast="0"/>
        <w:bookmarkEnd w:id="10"/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r>
              <w:fldChar w:fldCharType="begin"/>
            </w:r>
            <w:r>
              <w:instrText xml:space="preserve"> HYPERLINK "http://asozd</w:instrText>
            </w:r>
            <w:r>
              <w:instrText xml:space="preserve">2.duma.gov.ru/main.nsf/(Spravka)?OpenAgent&amp;RN=797841-6&amp;02"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797841-6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некоторые законодательные акты Российской Федерации в части совершенствования законодательства в сфере обязательного социального страхования от несчастных случае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 производстве и профессиональных заболеваний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содержание понятий "страховой случай" и "профессиональное заболевание" приводится в соответствие с Федеральным законом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обязательном социальном страховании от несчастных случаев на производстве и профессиональных заболеваний", согласно которому право на получение страховых выплат также предоставляется в случае смерти застрахованного в результате наступления страхового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учая. Понятие "заработок застрахованного" осовременивается с учетом действующего законодательства РФ. Конкретизируются нормы, связанные с обязательным социальным страхованием от несчастных случаев на производстве и профессиональных заболеваний физических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иц, выполняющих работу на основании гражданско-правового договора. Увеличивается время подачи заявления о регистрации в качестве страхователя с 10 до 30 дней. В качестве минимальной социальной гарантии предполагается использовать минимальный размер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 установленный федеральным законом на день обращения за назначением обеспечения по страхованию. признается утратившей силу норма, согласно которой не реже одного раза в год страховщик обеспечивал осуществление проверки своей финансово-хозяйственной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 специализированной аудиторской организацией.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5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рынку труда и социальному партнерству</w:t>
              </w:r>
            </w:hyperlink>
            <w:hyperlink r:id="rId53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54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5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822082-6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Федеральный закон "О несостоятельности (банкротстве)" в части наделения госуд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арственной корпорации "Агентство по страхованию вкладов" функциями по проведению процедуры банкротства страховых организаций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государственная корпорация «Агентство по страхованию вкладов» надел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яется функциями по проведению банкротства страховых организаций. Законопроектом определяются процедуры:</w:t>
            </w:r>
          </w:p>
          <w:p w:rsidR="005C344A" w:rsidRDefault="004F64A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осуществления конкурсного производства в деле о банкротстве страховой организации, в том числе порядок взаимодействия конкурсного управляющего – представителя Агентства с Банком России;</w:t>
            </w:r>
          </w:p>
          <w:p w:rsidR="005C344A" w:rsidRDefault="004F64A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установления требований кредиторов в ходе конкурсного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деле о банкротстве страховой организации;</w:t>
            </w:r>
          </w:p>
          <w:p w:rsidR="005C344A" w:rsidRDefault="004F64A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ликвидации страховой организации;</w:t>
            </w:r>
          </w:p>
          <w:p w:rsidR="005C344A" w:rsidRDefault="004F64A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банкротства отсутствующей страховой организации.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5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страховой деятельности</w:t>
              </w:r>
            </w:hyperlink>
            <w:hyperlink r:id="rId57"/>
          </w:p>
        </w:tc>
      </w:tr>
      <w:tr w:rsidR="005C344A">
        <w:tc>
          <w:tcPr>
            <w:tcW w:w="0" w:type="auto"/>
          </w:tcPr>
          <w:p w:rsidR="005C344A" w:rsidRDefault="004F64A1">
            <w:pPr>
              <w:spacing w:line="240" w:lineRule="auto"/>
            </w:pPr>
            <w:hyperlink r:id="rId58"/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both"/>
            </w:pPr>
            <w:hyperlink r:id="rId5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855485-6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юрис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дикционном иммунитете иностранного государства и имущества иностранного государства в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федерального закона предусматривает возможность ограничения судом Российской Федерации на основе принципа взаимности юрисдикционного иммунитета иностранного государства, если установлено, что в иностранном государстве, в отношении которого возник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о юрисдикционном иммунитете, Российской Федерации предоставляется юрисдикционный иммунитет в более ограниченном объеме, чем тот, который предоставляется иностранному государству.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законо-проект направлен в </w:t>
            </w:r>
            <w:hyperlink r:id="rId6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собственности</w:t>
              </w:r>
            </w:hyperlink>
            <w:hyperlink r:id="rId61"/>
          </w:p>
        </w:tc>
      </w:tr>
    </w:tbl>
    <w:p w:rsidR="005C344A" w:rsidRDefault="004F64A1">
      <w:pPr>
        <w:keepNext/>
        <w:spacing w:before="240" w:after="60" w:line="240" w:lineRule="auto"/>
        <w:ind w:left="720"/>
        <w:jc w:val="center"/>
      </w:pPr>
      <w:bookmarkStart w:id="11" w:name="h.17dp8vu" w:colFirst="0" w:colLast="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2. В Государственную Думу РФ внесены следующие законопроекты:</w:t>
      </w:r>
    </w:p>
    <w:p w:rsidR="005C344A" w:rsidRDefault="005C344A">
      <w:pPr>
        <w:spacing w:line="240" w:lineRule="auto"/>
      </w:pPr>
    </w:p>
    <w:tbl>
      <w:tblPr>
        <w:tblStyle w:val="a7"/>
        <w:tblW w:w="1548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20"/>
        <w:gridCol w:w="2693"/>
        <w:gridCol w:w="2268"/>
      </w:tblGrid>
      <w:tr w:rsidR="005C344A"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наименование законопроекта</w:t>
            </w:r>
          </w:p>
        </w:tc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0" w:type="auto"/>
          </w:tcPr>
          <w:p w:rsidR="005C344A" w:rsidRDefault="005C344A">
            <w:pPr>
              <w:spacing w:line="240" w:lineRule="auto"/>
              <w:jc w:val="center"/>
            </w:pPr>
          </w:p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344A"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ind w:left="6" w:firstLine="527"/>
              <w:jc w:val="both"/>
            </w:pPr>
            <w:hyperlink r:id="rId6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827806-6</w:t>
              </w:r>
            </w:hyperlink>
            <w:hyperlink r:id="rId63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внесении изменения в статью 13.19 Кодекса Российской Федерации об административных правонарушениях (в части усиления ответственности за непредоставление первичных статистических данных)</w:t>
              </w:r>
            </w:hyperlink>
            <w:hyperlink r:id="rId65"/>
          </w:p>
          <w:p w:rsidR="005C344A" w:rsidRDefault="004F64A1">
            <w:pPr>
              <w:spacing w:line="240" w:lineRule="auto"/>
              <w:ind w:left="6" w:firstLine="527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излагается в новой редакции статья 13.19 КоАП РФ, предусматривающая ответственность за непредставление респондентами субъектам официального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атистического учета первичных данных в установленном порядке или несвоевременное представление этих данных либо предоставление недостоверных данных. Размер налагаемого административного штрафа увеличивается с трех - пяти тысяч рублей до десяти - двадцати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ысяч рублей (для должностных лиц) и до двадцати - семидесяти тысяч рублей (для юридических лиц). Повторное совершение административного правонарушения влечет наложение административного штрафа на должностных лиц в размере от тридцати до пятидесяти тысяч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блей, на юридических лиц – от ста тысяч до ста пятидесяти тысяч рублей.</w:t>
            </w:r>
          </w:p>
        </w:tc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3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нап-равлен в  </w:t>
            </w:r>
            <w:hyperlink r:id="rId6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совер-шенствованию конт-рольно-на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дзорной деятельности и ус-транению админи-стративных барь-еров</w:t>
              </w:r>
            </w:hyperlink>
            <w:hyperlink r:id="rId67"/>
          </w:p>
        </w:tc>
      </w:tr>
      <w:bookmarkStart w:id="12" w:name="h.3rdcrjn" w:colFirst="0" w:colLast="0"/>
      <w:bookmarkEnd w:id="12"/>
      <w:tr w:rsidR="005C344A"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ind w:firstLine="709"/>
              <w:jc w:val="both"/>
            </w:pPr>
            <w:r>
              <w:fldChar w:fldCharType="begin"/>
            </w:r>
            <w:r>
              <w:instrText xml:space="preserve"> HYPERLINK "http://asozd2.duma.gov.ru/work/ud.nsf/32fafda59ff7e9e643257e1b004e0111/fa167832186914c343257e90002d44e4?OpenDocument&amp;Date=2015-09-14"</w:instrText>
            </w:r>
            <w:r>
              <w:instrText xml:space="preserve">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848302-6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hyperlink r:id="rId68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6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внесении изменений в Кодекс Российской Федерации об административных правонарушениях (в части предотвращения нарушений заказчиком положений законодательства о контрактной системе в сфере закуп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 на стадиях планирования и исполнения контракта)</w:t>
              </w:r>
            </w:hyperlink>
            <w:hyperlink r:id="rId70"/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закрепляется администрат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ответственность заказчика за нарушение положений Федерального закона «О контрактной системе в сфере закупок товаров, работ, услуг для обеспечения государственных и муниципальных нужд» при осуществлении планирования закупок и исполнении контракта в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административного штрафа, налагаемого на должностных лиц: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составление и утверждение плана закупок, плана-графика закупок в нарушение требований законодательства РФ о контрактной системе в размере от двадцати до тридцати тыс. рублей;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несоблюден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установленных законодательством РФ о контрактной системе порядка и формы обоснования закупок в размере десяти тыс. рублей;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нарушение порядка и сроков проведения обязательного общественного обсуждения закупок, а равно непроведение обязательного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обсуждения закупок в размере тридцати тыс. рублей.</w:t>
            </w:r>
          </w:p>
        </w:tc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3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нап-равлен в </w:t>
            </w:r>
            <w:hyperlink r:id="rId7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развитию конкуренции</w:t>
              </w:r>
            </w:hyperlink>
            <w:hyperlink r:id="rId72"/>
          </w:p>
        </w:tc>
      </w:tr>
      <w:tr w:rsidR="005C344A"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ind w:firstLine="709"/>
              <w:jc w:val="both"/>
            </w:pPr>
            <w:hyperlink r:id="rId7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887724-6</w:t>
              </w:r>
            </w:hyperlink>
            <w:hyperlink r:id="rId74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7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внесении изменений в Налоговый кодекс Российской Федерации</w:t>
              </w:r>
            </w:hyperlink>
            <w:hyperlink r:id="rId76"/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Проектом федерального предусматривается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распространить налоговые льготы по доходам от операций по реализации или иного выбытия акций российских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 (долей участия в уставном капитале российских организаций) на облигации российских организаций и инвестиционные паи;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сократить срок владения физическим и юридическим лицом акциями и облигациями российских организаций, а также инвестиционными паями,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обращающимися на организованном рынке ценных бумаг, для признания дохода от операций по их реализации не подлежащим налогообложению (облагаемым по налоговой ставке 0 процентов) с пяти лет до одного года.</w:t>
            </w:r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Предлагаемые изменения будут действовать с момента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вступления законопроекта в силу до 31 декабря 2022 г., после чего вступят в силу действующие в настоящее время нормы.</w:t>
            </w:r>
          </w:p>
          <w:p w:rsidR="005C344A" w:rsidRDefault="005C344A">
            <w:pPr>
              <w:spacing w:line="240" w:lineRule="auto"/>
              <w:ind w:firstLine="709"/>
              <w:jc w:val="both"/>
            </w:pPr>
          </w:p>
        </w:tc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3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нап-равлен в </w:t>
            </w:r>
            <w:hyperlink r:id="rId7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государс-твенно-частному партнерству и инвес-тиционной политике</w:t>
              </w:r>
            </w:hyperlink>
            <w:hyperlink r:id="rId78"/>
          </w:p>
        </w:tc>
      </w:tr>
      <w:tr w:rsidR="005C344A"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ind w:firstLine="709"/>
              <w:jc w:val="both"/>
            </w:pPr>
            <w:hyperlink r:id="rId7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891249-6</w:t>
              </w:r>
            </w:hyperlink>
            <w:hyperlink r:id="rId80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8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тивных правовых актов</w:t>
              </w:r>
            </w:hyperlink>
            <w:hyperlink r:id="rId82"/>
          </w:p>
          <w:p w:rsidR="005C344A" w:rsidRDefault="004F64A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исключается обязательное проведение органами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 оценки регулирующего воздействия проектов нормативных правовых актов муниципальных образований и экспертизы действующих нормативных правовых актов муниципальных образований. Устанавливается возможность проведения ОРВ и экспертизы в инициати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(по желанию органов местного самоуправления) порядке. Для городских округов, являющихся административными центрами субъектов РФ, сохраняется обязательность проведения ОРВ и экспертизы. Из предметной области ОРВ, проводимой на уровне субъектов РФ и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иципальных образований, исключаются сферы бюджетных правоотношений, установления налогов и сборов, тарифной политики.</w:t>
            </w:r>
          </w:p>
        </w:tc>
        <w:tc>
          <w:tcPr>
            <w:tcW w:w="0" w:type="auto"/>
            <w:vAlign w:val="center"/>
          </w:tcPr>
          <w:p w:rsidR="005C344A" w:rsidRDefault="004F64A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5C344A" w:rsidRDefault="004F64A1">
            <w:pPr>
              <w:spacing w:line="240" w:lineRule="auto"/>
              <w:ind w:firstLine="3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нап-равлен в </w:t>
            </w:r>
            <w:hyperlink r:id="rId8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тет РСПП по совер-шенствованию конт-рольно-надзорной деятельности и ус-транению админи-стративных барь-еров</w:t>
              </w:r>
            </w:hyperlink>
            <w:hyperlink r:id="rId84"/>
          </w:p>
        </w:tc>
      </w:tr>
    </w:tbl>
    <w:p w:rsidR="005C344A" w:rsidRDefault="004F64A1">
      <w:pPr>
        <w:keepNext/>
        <w:numPr>
          <w:ilvl w:val="0"/>
          <w:numId w:val="1"/>
        </w:numPr>
        <w:spacing w:before="240" w:after="6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h.26in1rg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Правоприменительная практика</w:t>
      </w:r>
    </w:p>
    <w:p w:rsidR="005C344A" w:rsidRDefault="005C344A">
      <w:pPr>
        <w:spacing w:line="240" w:lineRule="auto"/>
        <w:ind w:firstLine="709"/>
        <w:jc w:val="both"/>
      </w:pPr>
    </w:p>
    <w:tbl>
      <w:tblPr>
        <w:tblStyle w:val="a8"/>
        <w:tblW w:w="153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2"/>
      </w:tblGrid>
      <w:tr w:rsidR="005C344A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344A" w:rsidRDefault="005C344A">
            <w:pPr>
              <w:spacing w:line="240" w:lineRule="auto"/>
              <w:ind w:firstLine="709"/>
              <w:jc w:val="both"/>
            </w:pPr>
          </w:p>
          <w:p w:rsidR="005C344A" w:rsidRDefault="004F64A1">
            <w:pPr>
              <w:spacing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РФ опубликовал постановление Пленума ВС РФ от 29 сентября 2015г. № 14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некоторых вопросах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 применением норм Гражданского кодекса Российской Федерации об исковой давности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В постановлении даются разъяснения по возникающим в суде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бной практике вопросами, связанными с применением положений Гражданского кодекса Российской Федерации об исковой давности.</w:t>
            </w:r>
          </w:p>
          <w:bookmarkStart w:id="14" w:name="h.lnxbz9" w:colFirst="0" w:colLast="0"/>
          <w:bookmarkEnd w:id="14"/>
          <w:p w:rsidR="005C344A" w:rsidRDefault="004F64A1">
            <w:pPr>
              <w:spacing w:line="240" w:lineRule="auto"/>
              <w:ind w:firstLine="720"/>
              <w:jc w:val="center"/>
            </w:pPr>
            <w:r>
              <w:fldChar w:fldCharType="begin"/>
            </w:r>
            <w:r>
              <w:instrText xml:space="preserve"> HYPERLINK "http://media.rspp.ru/document/1/7/b/7bfcbbdfb0401b8349c0b76c1abc2c81.docx"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(подробнее)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hyperlink r:id="rId85"/>
          </w:p>
        </w:tc>
      </w:tr>
    </w:tbl>
    <w:p w:rsidR="005C344A" w:rsidRDefault="004F64A1">
      <w:pPr>
        <w:keepNext/>
        <w:numPr>
          <w:ilvl w:val="0"/>
          <w:numId w:val="1"/>
        </w:numPr>
        <w:spacing w:before="240" w:after="6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События</w:t>
      </w:r>
    </w:p>
    <w:p w:rsidR="005C344A" w:rsidRDefault="004F64A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 сентября 2015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РСПП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А.Н.Шохин направил Министру Российской Федерации М.А.Абызову позицию РСПП по проекту федерального закона «Об основах государственного и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контроля (надзора) в Российской Федерации, подготовленному Минэкономразвития России.</w:t>
      </w:r>
    </w:p>
    <w:p w:rsidR="005C344A" w:rsidRDefault="004F64A1">
      <w:pPr>
        <w:spacing w:line="240" w:lineRule="auto"/>
        <w:ind w:firstLine="720"/>
        <w:jc w:val="center"/>
      </w:pPr>
      <w:hyperlink r:id="rId86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87"/>
    </w:p>
    <w:p w:rsidR="005C344A" w:rsidRDefault="004F64A1">
      <w:pPr>
        <w:spacing w:line="240" w:lineRule="auto"/>
        <w:ind w:firstLine="720"/>
        <w:jc w:val="center"/>
      </w:pPr>
      <w:hyperlink r:id="rId88"/>
    </w:p>
    <w:p w:rsidR="005C344A" w:rsidRDefault="004F64A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 сентября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РСПП А.Н.Шохин направил:</w:t>
      </w:r>
    </w:p>
    <w:p w:rsidR="005C344A" w:rsidRDefault="004F64A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Пре</w:t>
      </w:r>
      <w:r>
        <w:rPr>
          <w:rFonts w:ascii="Times New Roman" w:eastAsia="Times New Roman" w:hAnsi="Times New Roman" w:cs="Times New Roman"/>
          <w:sz w:val="24"/>
          <w:szCs w:val="24"/>
        </w:rPr>
        <w:t>дседателя Правительства Российской Федерации-Руководителю Аппарата Правительства РФ С.Э.Приходько замечания РСПП по проекту федерального закона «О внесении изменений в Уголовный кодекс Российской Федерации и Уголовно-процессуальный кодекс Российской Федера</w:t>
      </w:r>
      <w:r>
        <w:rPr>
          <w:rFonts w:ascii="Times New Roman" w:eastAsia="Times New Roman" w:hAnsi="Times New Roman" w:cs="Times New Roman"/>
          <w:sz w:val="24"/>
          <w:szCs w:val="24"/>
        </w:rPr>
        <w:t>ции в связи с усилением ответственности за нарушения в области рыболовства и сохранения водных биологических ресурсов», подготовленному Минсельхозом России;</w:t>
      </w:r>
    </w:p>
    <w:p w:rsidR="005C344A" w:rsidRDefault="004F64A1">
      <w:pPr>
        <w:spacing w:line="240" w:lineRule="auto"/>
        <w:ind w:firstLine="720"/>
        <w:jc w:val="center"/>
      </w:pPr>
      <w:hyperlink r:id="rId89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нее)</w:t>
        </w:r>
      </w:hyperlink>
      <w:hyperlink r:id="rId90"/>
    </w:p>
    <w:p w:rsidR="005C344A" w:rsidRDefault="004F64A1">
      <w:pPr>
        <w:spacing w:line="240" w:lineRule="auto"/>
        <w:ind w:firstLine="720"/>
        <w:jc w:val="center"/>
      </w:pPr>
      <w:hyperlink r:id="rId91"/>
    </w:p>
    <w:p w:rsidR="005C344A" w:rsidRDefault="004F64A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Помощнику Президента РФ – начальнику Государственно-правового управления Президента РФ Л.И.Брычевой заключение РСПП на проект федерального закона «О внесении изменений в Федеральный закон «О несосотоятельности (банкротстве) и отдельные законодательные акты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в части регулирования вопросов применения процедур наблюдения и финансового оздоровления»;</w:t>
      </w:r>
    </w:p>
    <w:p w:rsidR="005C344A" w:rsidRDefault="004F64A1">
      <w:pPr>
        <w:spacing w:line="240" w:lineRule="auto"/>
        <w:ind w:firstLine="720"/>
        <w:jc w:val="center"/>
      </w:pPr>
      <w:hyperlink r:id="rId92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93"/>
    </w:p>
    <w:p w:rsidR="005C344A" w:rsidRDefault="004F64A1">
      <w:pPr>
        <w:spacing w:line="240" w:lineRule="auto"/>
        <w:ind w:firstLine="720"/>
        <w:jc w:val="both"/>
      </w:pPr>
      <w:hyperlink r:id="rId94"/>
    </w:p>
    <w:p w:rsidR="005C344A" w:rsidRDefault="004F64A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Председателя Верховного Суда РФ Т.А.Петровой предложения по внесению изменений в проект постановле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ния Пленума ВС РФ «О применении судами законодательства при рассмотрении вопросов, возникающихв в ходе исполнительного производства».</w:t>
      </w:r>
    </w:p>
    <w:bookmarkStart w:id="15" w:name="h.35nkun2" w:colFirst="0" w:colLast="0"/>
    <w:bookmarkEnd w:id="15"/>
    <w:p w:rsidR="005C344A" w:rsidRDefault="004F64A1">
      <w:pPr>
        <w:spacing w:line="240" w:lineRule="auto"/>
        <w:ind w:firstLine="720"/>
        <w:jc w:val="center"/>
      </w:pPr>
      <w:r>
        <w:fldChar w:fldCharType="begin"/>
      </w:r>
      <w:r>
        <w:instrText xml:space="preserve"> HYPERLINK "http://media.rspp.ru/document/1/7/3/73e10e38fe45eec434a9ab571990507b.pdf"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(подробнее)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fldChar w:fldCharType="end"/>
      </w:r>
      <w:hyperlink r:id="rId95"/>
    </w:p>
    <w:p w:rsidR="005C344A" w:rsidRDefault="004F64A1">
      <w:pPr>
        <w:spacing w:line="240" w:lineRule="auto"/>
        <w:ind w:firstLine="720"/>
        <w:jc w:val="both"/>
      </w:pPr>
      <w:hyperlink r:id="rId96"/>
    </w:p>
    <w:p w:rsidR="005C344A" w:rsidRDefault="004F64A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 сентября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РСПП А.Н.Шохин направил Председателю Правительства РФ Д.А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.Медведеву предложения РСПП по вопросу реализации моратория на неналоговые платежи в части определения размера платы в счет возмещения вреда, причиняемого автомобильным транспортом дорогам общего пользования федерального значения транспортными средствами, </w:t>
      </w:r>
      <w:r>
        <w:rPr>
          <w:rFonts w:ascii="Times New Roman" w:eastAsia="Times New Roman" w:hAnsi="Times New Roman" w:cs="Times New Roman"/>
          <w:sz w:val="24"/>
          <w:szCs w:val="24"/>
        </w:rPr>
        <w:t>имеющими разрешенную массу свыше 12 тонн.</w:t>
      </w:r>
    </w:p>
    <w:p w:rsidR="005C344A" w:rsidRDefault="004F64A1">
      <w:pPr>
        <w:spacing w:line="240" w:lineRule="auto"/>
        <w:ind w:firstLine="720"/>
        <w:jc w:val="center"/>
      </w:pPr>
      <w:hyperlink r:id="rId97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98"/>
    </w:p>
    <w:p w:rsidR="005C344A" w:rsidRDefault="004F64A1">
      <w:pPr>
        <w:spacing w:line="240" w:lineRule="auto"/>
        <w:ind w:firstLine="720"/>
        <w:jc w:val="both"/>
      </w:pPr>
      <w:hyperlink r:id="rId99"/>
    </w:p>
    <w:sectPr w:rsidR="005C344A">
      <w:headerReference w:type="default" r:id="rId100"/>
      <w:pgSz w:w="16838" w:h="11906"/>
      <w:pgMar w:top="567" w:right="678" w:bottom="567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64A1">
      <w:pPr>
        <w:spacing w:line="240" w:lineRule="auto"/>
      </w:pPr>
      <w:r>
        <w:separator/>
      </w:r>
    </w:p>
  </w:endnote>
  <w:endnote w:type="continuationSeparator" w:id="0">
    <w:p w:rsidR="00000000" w:rsidRDefault="004F6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64A1">
      <w:pPr>
        <w:spacing w:line="240" w:lineRule="auto"/>
      </w:pPr>
      <w:r>
        <w:separator/>
      </w:r>
    </w:p>
  </w:footnote>
  <w:footnote w:type="continuationSeparator" w:id="0">
    <w:p w:rsidR="00000000" w:rsidRDefault="004F6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4A" w:rsidRDefault="004F64A1">
    <w:pPr>
      <w:tabs>
        <w:tab w:val="center" w:pos="4677"/>
        <w:tab w:val="right" w:pos="9355"/>
      </w:tabs>
      <w:spacing w:before="709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hyperlink r:id="rId1"/>
  </w:p>
  <w:p w:rsidR="005C344A" w:rsidRDefault="004F64A1">
    <w:pPr>
      <w:tabs>
        <w:tab w:val="center" w:pos="4677"/>
        <w:tab w:val="right" w:pos="9355"/>
      </w:tabs>
      <w:spacing w:line="240" w:lineRule="auto"/>
      <w:ind w:right="360"/>
    </w:pPr>
    <w:hyperlink r:id="rId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717A"/>
    <w:multiLevelType w:val="multilevel"/>
    <w:tmpl w:val="5A7CDC30"/>
    <w:lvl w:ilvl="0">
      <w:start w:val="3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5673362F"/>
    <w:multiLevelType w:val="multilevel"/>
    <w:tmpl w:val="C5DE7B3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4A"/>
    <w:rsid w:val="004F64A1"/>
    <w:rsid w:val="005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BB78-9F8D-448D-8E11-4F3370E3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sozd2.duma.gov.ru/main.nsf/(Spravka)?OpenAgent&amp;RN=821534-6&amp;02" TargetMode="External"/><Relationship Id="rId21" Type="http://schemas.openxmlformats.org/officeDocument/2006/relationships/hyperlink" Target="http://www.rspp.ru/cc/news/30" TargetMode="External"/><Relationship Id="rId34" Type="http://schemas.openxmlformats.org/officeDocument/2006/relationships/hyperlink" Target="http://asozd2.duma.gov.ru/main.nsf/(Spravka)?OpenAgent&amp;RN=777087-6&amp;02" TargetMode="External"/><Relationship Id="rId42" Type="http://schemas.openxmlformats.org/officeDocument/2006/relationships/hyperlink" Target="http://asozd2.duma.gov.ru/main.nsf/(Spravka)?OpenAgent&amp;RN=776943-6&amp;02" TargetMode="External"/><Relationship Id="rId47" Type="http://schemas.openxmlformats.org/officeDocument/2006/relationships/hyperlink" Target="http://www.rspp.ru/cc/news/1" TargetMode="External"/><Relationship Id="rId50" Type="http://schemas.openxmlformats.org/officeDocument/2006/relationships/hyperlink" Target="http://asozd2.duma.gov.ru/main.nsf/(Spravka)?OpenAgent&amp;RN=822516-6&amp;02" TargetMode="External"/><Relationship Id="rId55" Type="http://schemas.openxmlformats.org/officeDocument/2006/relationships/hyperlink" Target="http://asozd2.duma.gov.ru/main.nsf/(Spravka)?OpenAgent&amp;RN=822082-6&amp;02" TargetMode="External"/><Relationship Id="rId63" Type="http://schemas.openxmlformats.org/officeDocument/2006/relationships/hyperlink" Target="http://asozd2.duma.gov.ru/work/ud.nsf/32fafda59ff7e9e643257e1b004e0111/5253c4e0817d541743257e74005c6dd8?OpenDocument&amp;Date=2015-09-14" TargetMode="External"/><Relationship Id="rId68" Type="http://schemas.openxmlformats.org/officeDocument/2006/relationships/hyperlink" Target="http://asozd2.duma.gov.ru/work/ud.nsf/32fafda59ff7e9e643257e1b004e0111/fa167832186914c343257e90002d44e4?OpenDocument&amp;Date=2015-09-14" TargetMode="External"/><Relationship Id="rId76" Type="http://schemas.openxmlformats.org/officeDocument/2006/relationships/hyperlink" Target="http://asozd2.duma.gov.ru/work/ud.nsf/32fafda59ff7e9e643257e1b004e0111/59c816331e4d9e7743257eca0057531c?OpenDocument&amp;Date=2015-09-25" TargetMode="External"/><Relationship Id="rId84" Type="http://schemas.openxmlformats.org/officeDocument/2006/relationships/hyperlink" Target="http://&#1088;&#1089;&#1087;&#1087;.&#1088;&#1092;/cc/news/16" TargetMode="External"/><Relationship Id="rId89" Type="http://schemas.openxmlformats.org/officeDocument/2006/relationships/hyperlink" Target="http://media.rspp.ru/document/1/6/0/608767d7d3299cb80ec55f20b8098975.pdf" TargetMode="External"/><Relationship Id="rId97" Type="http://schemas.openxmlformats.org/officeDocument/2006/relationships/hyperlink" Target="http://media.rspp.ru/document/1/a/a/aab09e80fd48e8e389bcd6a7fd474d01.pdf" TargetMode="External"/><Relationship Id="rId7" Type="http://schemas.openxmlformats.org/officeDocument/2006/relationships/image" Target="media/image1.jpg"/><Relationship Id="rId71" Type="http://schemas.openxmlformats.org/officeDocument/2006/relationships/hyperlink" Target="http://www.rspp.ru/cc/news/46" TargetMode="External"/><Relationship Id="rId92" Type="http://schemas.openxmlformats.org/officeDocument/2006/relationships/hyperlink" Target="http://media.rspp.ru/document/1/9/f/9f90c3711da8812eb43b9292b98de54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pp.ru/cc/news/30" TargetMode="External"/><Relationship Id="rId29" Type="http://schemas.openxmlformats.org/officeDocument/2006/relationships/hyperlink" Target="http://www.rspp.ru/cc/news/46" TargetMode="External"/><Relationship Id="rId11" Type="http://schemas.openxmlformats.org/officeDocument/2006/relationships/hyperlink" Target="http://media.rspp.ru/document/1/3/b/3b192dea237d28b6fbcf8e36a7728467.pdf" TargetMode="External"/><Relationship Id="rId24" Type="http://schemas.openxmlformats.org/officeDocument/2006/relationships/hyperlink" Target="http://www.rspp.ru/cc/news/46" TargetMode="External"/><Relationship Id="rId32" Type="http://schemas.openxmlformats.org/officeDocument/2006/relationships/hyperlink" Target="http://www.rspp.ru/cc/news/46" TargetMode="External"/><Relationship Id="rId37" Type="http://schemas.openxmlformats.org/officeDocument/2006/relationships/hyperlink" Target="http://www.rspp.ru/cc/news/51" TargetMode="External"/><Relationship Id="rId40" Type="http://schemas.openxmlformats.org/officeDocument/2006/relationships/hyperlink" Target="http://www.rspp.ru/cc/news/1" TargetMode="External"/><Relationship Id="rId45" Type="http://schemas.openxmlformats.org/officeDocument/2006/relationships/hyperlink" Target="http://www.rspp.ru/cc/news/23" TargetMode="External"/><Relationship Id="rId53" Type="http://schemas.openxmlformats.org/officeDocument/2006/relationships/hyperlink" Target="http://www.rspp.ru/cc/news/12" TargetMode="External"/><Relationship Id="rId58" Type="http://schemas.openxmlformats.org/officeDocument/2006/relationships/hyperlink" Target="http://www.msn.com/ru-ru/?ocid=iehp" TargetMode="External"/><Relationship Id="rId66" Type="http://schemas.openxmlformats.org/officeDocument/2006/relationships/hyperlink" Target="http://&#1088;&#1089;&#1087;&#1087;.&#1088;&#1092;/cc/news/16" TargetMode="External"/><Relationship Id="rId74" Type="http://schemas.openxmlformats.org/officeDocument/2006/relationships/hyperlink" Target="http://asozd2.duma.gov.ru/work/ud.nsf/32fafda59ff7e9e643257e1b004e0111/59c816331e4d9e7743257eca0057531c?OpenDocument&amp;Date=2015-09-25" TargetMode="External"/><Relationship Id="rId79" Type="http://schemas.openxmlformats.org/officeDocument/2006/relationships/hyperlink" Target="http://asozd2.duma.gov.ru/work/ud.nsf/32fafda59ff7e9e643257e1b004e0111/0af6b889096b7d2443257ed100244071?OpenDocument&amp;Date=2015-10-01" TargetMode="External"/><Relationship Id="rId87" Type="http://schemas.openxmlformats.org/officeDocument/2006/relationships/hyperlink" Target="http://media.rspp.ru/document/1/0/a/0a987bdc73ebca30b436a03a97db26ac.pdf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rspp.ru/cc/news/8" TargetMode="External"/><Relationship Id="rId82" Type="http://schemas.openxmlformats.org/officeDocument/2006/relationships/hyperlink" Target="http://asozd2.duma.gov.ru/work/ud.nsf/32fafda59ff7e9e643257e1b004e0111/0af6b889096b7d2443257ed100244071?OpenDocument&amp;Date=2015-10-01" TargetMode="External"/><Relationship Id="rId90" Type="http://schemas.openxmlformats.org/officeDocument/2006/relationships/hyperlink" Target="http://media.rspp.ru/document/1/6/0/608767d7d3299cb80ec55f20b8098975.pdf" TargetMode="External"/><Relationship Id="rId95" Type="http://schemas.openxmlformats.org/officeDocument/2006/relationships/hyperlink" Target="http://media.rspp.ru/document/1/7/3/73e10e38fe45eec434a9ab571990507b.pdf" TargetMode="External"/><Relationship Id="rId19" Type="http://schemas.openxmlformats.org/officeDocument/2006/relationships/hyperlink" Target="http://www.rspp.ru/cc/news/30" TargetMode="External"/><Relationship Id="rId14" Type="http://schemas.openxmlformats.org/officeDocument/2006/relationships/hyperlink" Target="http://asozd2.duma.gov.ru/main.nsf/(Spravka)?OpenAgent&amp;RN=672438-6&amp;02" TargetMode="External"/><Relationship Id="rId22" Type="http://schemas.openxmlformats.org/officeDocument/2006/relationships/hyperlink" Target="http://asozd2.duma.gov.ru/main.nsf/(Spravka)?OpenAgent&amp;RN=817991-6&amp;02" TargetMode="External"/><Relationship Id="rId27" Type="http://schemas.openxmlformats.org/officeDocument/2006/relationships/hyperlink" Target="http://www.rspp.ru/cc/news/46" TargetMode="External"/><Relationship Id="rId30" Type="http://schemas.openxmlformats.org/officeDocument/2006/relationships/hyperlink" Target="http://asozd2.duma.gov.ru/main.nsf/(Spravka)?OpenAgent&amp;RN=821579-6&amp;02" TargetMode="External"/><Relationship Id="rId35" Type="http://schemas.openxmlformats.org/officeDocument/2006/relationships/hyperlink" Target="http://www.rspp.ru/cc/news/51" TargetMode="External"/><Relationship Id="rId43" Type="http://schemas.openxmlformats.org/officeDocument/2006/relationships/hyperlink" Target="http://www.rspp.ru/cc/news/23" TargetMode="External"/><Relationship Id="rId48" Type="http://schemas.openxmlformats.org/officeDocument/2006/relationships/hyperlink" Target="http://www.rspp.ru/cc/news/1" TargetMode="External"/><Relationship Id="rId56" Type="http://schemas.openxmlformats.org/officeDocument/2006/relationships/hyperlink" Target="http://www.msn.com/ru-ru/?ocid=iehp" TargetMode="External"/><Relationship Id="rId64" Type="http://schemas.openxmlformats.org/officeDocument/2006/relationships/hyperlink" Target="http://asozd2.duma.gov.ru/work/ud.nsf/32fafda59ff7e9e643257e1b004e0111/5253c4e0817d541743257e74005c6dd8?OpenDocument&amp;Date=2015-09-14" TargetMode="External"/><Relationship Id="rId69" Type="http://schemas.openxmlformats.org/officeDocument/2006/relationships/hyperlink" Target="http://asozd2.duma.gov.ru/work/ud.nsf/32fafda59ff7e9e643257e1b004e0111/fa167832186914c343257e90002d44e4?OpenDocument&amp;Date=2015-09-14" TargetMode="External"/><Relationship Id="rId77" Type="http://schemas.openxmlformats.org/officeDocument/2006/relationships/hyperlink" Target="http://www.rspp.ru/cc/news/3" TargetMode="External"/><Relationship Id="rId100" Type="http://schemas.openxmlformats.org/officeDocument/2006/relationships/header" Target="header1.xml"/><Relationship Id="rId8" Type="http://schemas.openxmlformats.org/officeDocument/2006/relationships/hyperlink" Target="NULL" TargetMode="External"/><Relationship Id="rId51" Type="http://schemas.openxmlformats.org/officeDocument/2006/relationships/hyperlink" Target="http://asozd2.duma.gov.ru/main.nsf/(Spravka)?OpenAgent&amp;RN=800660-6&amp;02" TargetMode="External"/><Relationship Id="rId72" Type="http://schemas.openxmlformats.org/officeDocument/2006/relationships/hyperlink" Target="http://www.rspp.ru/cc/news/46" TargetMode="External"/><Relationship Id="rId80" Type="http://schemas.openxmlformats.org/officeDocument/2006/relationships/hyperlink" Target="http://asozd2.duma.gov.ru/work/ud.nsf/32fafda59ff7e9e643257e1b004e0111/0af6b889096b7d2443257ed100244071?OpenDocument&amp;Date=2015-10-01" TargetMode="External"/><Relationship Id="rId85" Type="http://schemas.openxmlformats.org/officeDocument/2006/relationships/hyperlink" Target="http://media.rspp.ru/document/1/7/b/7bfcbbdfb0401b8349c0b76c1abc2c81.docx" TargetMode="External"/><Relationship Id="rId93" Type="http://schemas.openxmlformats.org/officeDocument/2006/relationships/hyperlink" Target="http://media.rspp.ru/document/1/9/f/9f90c3711da8812eb43b9292b98de545.pdf" TargetMode="External"/><Relationship Id="rId98" Type="http://schemas.openxmlformats.org/officeDocument/2006/relationships/hyperlink" Target="http://media.rspp.ru/document/1/a/a/aab09e80fd48e8e389bcd6a7fd474d0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dia.rspp.ru/document/1/3/b/3b192dea237d28b6fbcf8e36a7728467.pdf" TargetMode="External"/><Relationship Id="rId17" Type="http://schemas.openxmlformats.org/officeDocument/2006/relationships/hyperlink" Target="http://www.rspp.ru/cc/news/30" TargetMode="External"/><Relationship Id="rId25" Type="http://schemas.openxmlformats.org/officeDocument/2006/relationships/hyperlink" Target="http://www.rspp.ru/cc/news/46" TargetMode="External"/><Relationship Id="rId33" Type="http://schemas.openxmlformats.org/officeDocument/2006/relationships/hyperlink" Target="http://www.rspp.ru/cc/news/46" TargetMode="External"/><Relationship Id="rId38" Type="http://schemas.openxmlformats.org/officeDocument/2006/relationships/hyperlink" Target="http://asozd2.duma.gov.ru/main.nsf/(Spravka)?OpenAgent&amp;RN=688038-6&amp;02" TargetMode="External"/><Relationship Id="rId46" Type="http://schemas.openxmlformats.org/officeDocument/2006/relationships/hyperlink" Target="http://asozd2.duma.gov.ru/main.nsf/(Spravka)?OpenAgent&amp;RN=801288-6&amp;02" TargetMode="External"/><Relationship Id="rId59" Type="http://schemas.openxmlformats.org/officeDocument/2006/relationships/hyperlink" Target="http://asozd2.duma.gov.ru/main.nsf/(Spravka)?OpenAgent&amp;RN=855485-6&amp;02" TargetMode="External"/><Relationship Id="rId67" Type="http://schemas.openxmlformats.org/officeDocument/2006/relationships/hyperlink" Target="http://&#1088;&#1089;&#1087;&#1087;.&#1088;&#1092;/cc/news/16" TargetMode="External"/><Relationship Id="rId20" Type="http://schemas.openxmlformats.org/officeDocument/2006/relationships/hyperlink" Target="http://www.rspp.ru/cc/news/30" TargetMode="External"/><Relationship Id="rId41" Type="http://schemas.openxmlformats.org/officeDocument/2006/relationships/hyperlink" Target="http://www.rspp.ru/cc/news/1" TargetMode="External"/><Relationship Id="rId54" Type="http://schemas.openxmlformats.org/officeDocument/2006/relationships/hyperlink" Target="http://www.rspp.ru/cc/news/12" TargetMode="External"/><Relationship Id="rId62" Type="http://schemas.openxmlformats.org/officeDocument/2006/relationships/hyperlink" Target="http://asozd2.duma.gov.ru/work/ud.nsf/32fafda59ff7e9e643257e1b004e0111/5253c4e0817d541743257e74005c6dd8?OpenDocument&amp;Date=2015-09-14" TargetMode="External"/><Relationship Id="rId70" Type="http://schemas.openxmlformats.org/officeDocument/2006/relationships/hyperlink" Target="http://asozd2.duma.gov.ru/work/ud.nsf/32fafda59ff7e9e643257e1b004e0111/fa167832186914c343257e90002d44e4?OpenDocument&amp;Date=2015-09-14" TargetMode="External"/><Relationship Id="rId75" Type="http://schemas.openxmlformats.org/officeDocument/2006/relationships/hyperlink" Target="http://asozd2.duma.gov.ru/work/ud.nsf/32fafda59ff7e9e643257e1b004e0111/59c816331e4d9e7743257eca0057531c?OpenDocument&amp;Date=2015-09-25" TargetMode="External"/><Relationship Id="rId83" Type="http://schemas.openxmlformats.org/officeDocument/2006/relationships/hyperlink" Target="http://&#1088;&#1089;&#1087;&#1087;.&#1088;&#1092;/cc/news/16" TargetMode="External"/><Relationship Id="rId88" Type="http://schemas.openxmlformats.org/officeDocument/2006/relationships/hyperlink" Target="http://media.rspp.ru/document/1/0/a/0a987bdc73ebca30b436a03a97db26ac.pdf" TargetMode="External"/><Relationship Id="rId91" Type="http://schemas.openxmlformats.org/officeDocument/2006/relationships/hyperlink" Target="http://media.rspp.ru/document/1/6/0/608767d7d3299cb80ec55f20b8098975.pdf" TargetMode="External"/><Relationship Id="rId96" Type="http://schemas.openxmlformats.org/officeDocument/2006/relationships/hyperlink" Target="http://media.rspp.ru/document/1/7/3/73e10e38fe45eec434a9ab571990507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spp.ru/cc/news/30" TargetMode="External"/><Relationship Id="rId23" Type="http://schemas.openxmlformats.org/officeDocument/2006/relationships/hyperlink" Target="http://www.rspp.ru/cc/news/46" TargetMode="External"/><Relationship Id="rId28" Type="http://schemas.openxmlformats.org/officeDocument/2006/relationships/hyperlink" Target="http://www.rspp.ru/cc/news/46" TargetMode="External"/><Relationship Id="rId36" Type="http://schemas.openxmlformats.org/officeDocument/2006/relationships/hyperlink" Target="http://www.rspp.ru/cc/news/51" TargetMode="External"/><Relationship Id="rId49" Type="http://schemas.openxmlformats.org/officeDocument/2006/relationships/hyperlink" Target="http://www.rspp.ru/cc/news/1" TargetMode="External"/><Relationship Id="rId57" Type="http://schemas.openxmlformats.org/officeDocument/2006/relationships/hyperlink" Target="http://www.msn.com/ru-ru/?ocid=iehp" TargetMode="External"/><Relationship Id="rId10" Type="http://schemas.openxmlformats.org/officeDocument/2006/relationships/hyperlink" Target="http://asozd2.duma.gov.ru/main.nsf/(Spravka)?OpenAgent&amp;RN=658443-6&amp;02" TargetMode="External"/><Relationship Id="rId31" Type="http://schemas.openxmlformats.org/officeDocument/2006/relationships/hyperlink" Target="http://www.rspp.ru/cc/news/46" TargetMode="External"/><Relationship Id="rId44" Type="http://schemas.openxmlformats.org/officeDocument/2006/relationships/hyperlink" Target="http://www.rspp.ru/cc/news/23" TargetMode="External"/><Relationship Id="rId52" Type="http://schemas.openxmlformats.org/officeDocument/2006/relationships/hyperlink" Target="http://www.rspp.ru/cc/news/12" TargetMode="External"/><Relationship Id="rId60" Type="http://schemas.openxmlformats.org/officeDocument/2006/relationships/hyperlink" Target="http://www.rspp.ru/cc/news/8" TargetMode="External"/><Relationship Id="rId65" Type="http://schemas.openxmlformats.org/officeDocument/2006/relationships/hyperlink" Target="http://asozd2.duma.gov.ru/work/ud.nsf/32fafda59ff7e9e643257e1b004e0111/5253c4e0817d541743257e74005c6dd8?OpenDocument&amp;Date=2015-09-14" TargetMode="External"/><Relationship Id="rId73" Type="http://schemas.openxmlformats.org/officeDocument/2006/relationships/hyperlink" Target="http://asozd2.duma.gov.ru/work/ud.nsf/32fafda59ff7e9e643257e1b004e0111/59c816331e4d9e7743257eca0057531c?OpenDocument&amp;Date=2015-09-25" TargetMode="External"/><Relationship Id="rId78" Type="http://schemas.openxmlformats.org/officeDocument/2006/relationships/hyperlink" Target="http://www.rspp.ru/cc/news/3" TargetMode="External"/><Relationship Id="rId81" Type="http://schemas.openxmlformats.org/officeDocument/2006/relationships/hyperlink" Target="http://asozd2.duma.gov.ru/work/ud.nsf/32fafda59ff7e9e643257e1b004e0111/0af6b889096b7d2443257ed100244071?OpenDocument&amp;Date=2015-10-01" TargetMode="External"/><Relationship Id="rId86" Type="http://schemas.openxmlformats.org/officeDocument/2006/relationships/hyperlink" Target="http://media.rspp.ru/document/1/0/a/0a987bdc73ebca30b436a03a97db26ac.pdf" TargetMode="External"/><Relationship Id="rId94" Type="http://schemas.openxmlformats.org/officeDocument/2006/relationships/hyperlink" Target="http://media.rspp.ru/document/1/9/f/9f90c3711da8812eb43b9292b98de545.pdf" TargetMode="External"/><Relationship Id="rId99" Type="http://schemas.openxmlformats.org/officeDocument/2006/relationships/hyperlink" Target="http://media.rspp.ru/document/1/a/a/aab09e80fd48e8e389bcd6a7fd474d01.pdf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ozd2.duma.gov.ru/main.nsf/(Spravka)?OpenAgent&amp;RN=602468-6&amp;02" TargetMode="External"/><Relationship Id="rId13" Type="http://schemas.openxmlformats.org/officeDocument/2006/relationships/hyperlink" Target="http://media.rspp.ru/document/1/3/b/3b192dea237d28b6fbcf8e36a7728467.pdf" TargetMode="External"/><Relationship Id="rId18" Type="http://schemas.openxmlformats.org/officeDocument/2006/relationships/hyperlink" Target="http://asozd2.duma.gov.ru/main.nsf/(Spravka)?OpenAgent&amp;RN=732450-6&amp;02" TargetMode="External"/><Relationship Id="rId39" Type="http://schemas.openxmlformats.org/officeDocument/2006/relationships/hyperlink" Target="http://www.rspp.ru/cc/news/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dia.rspp.ru/document/1/a/a/aab09e80fd48e8e389bcd6a7fd474d01.pdf" TargetMode="External"/><Relationship Id="rId1" Type="http://schemas.openxmlformats.org/officeDocument/2006/relationships/hyperlink" Target="http://media.rspp.ru/document/1/a/a/aab09e80fd48e8e389bcd6a7fd474d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4880</Words>
  <Characters>27818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Glbuch</dc:creator>
  <cp:lastModifiedBy>РК Союз Промышленников</cp:lastModifiedBy>
  <cp:revision>2</cp:revision>
  <dcterms:created xsi:type="dcterms:W3CDTF">2015-10-30T09:24:00Z</dcterms:created>
  <dcterms:modified xsi:type="dcterms:W3CDTF">2015-10-30T09:24:00Z</dcterms:modified>
</cp:coreProperties>
</file>