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3C07ED" w:rsidTr="003C07ED">
        <w:tc>
          <w:tcPr>
            <w:tcW w:w="2689" w:type="dxa"/>
          </w:tcPr>
          <w:p w:rsidR="003C07ED" w:rsidRDefault="003C07ED" w:rsidP="003C07E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9C0E98" wp14:editId="49C4D706">
                  <wp:extent cx="1554355" cy="1028700"/>
                  <wp:effectExtent l="0" t="0" r="8255" b="0"/>
                  <wp:docPr id="2" name="Рисунок 2" descr="&amp;Gcy;&amp;ocy;&amp;scy;&amp;ucy;&amp;dcy;&amp;acy;&amp;rcy;&amp;scy;&amp;tcy;&amp;vcy;&amp;ucy; &amp;ncy;&amp;iecy;&amp;ocy;&amp;bcy;&amp;khcy;&amp;ocy;&amp;dcy;&amp;icy;&amp;mcy;&amp;ocy; &amp;vcy;&amp;iecy;&amp;rcy;&amp;ncy;&amp;ucy;&amp;tcy;&amp;softcy; &amp;kcy;&amp;ocy;&amp;ncy;&amp;tcy;&amp;rcy;&amp;ocy;&amp;lcy;&amp;softcy; &amp;ncy;&amp;acy;&amp;dcy; &amp;lcy;&amp;iecy;&amp;scy;&amp;ncy;&amp;ycy;&amp;mcy;&amp;icy; &amp;bcy;&amp;ocy;&amp;gcy;&amp;acy;&amp;tcy;&amp;scy;&amp;tcy;&amp;vcy;&amp;acy;&amp;mcy;&amp;icy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Gcy;&amp;ocy;&amp;scy;&amp;ucy;&amp;dcy;&amp;acy;&amp;rcy;&amp;scy;&amp;tcy;&amp;vcy;&amp;ucy; &amp;ncy;&amp;iecy;&amp;ocy;&amp;bcy;&amp;khcy;&amp;ocy;&amp;dcy;&amp;icy;&amp;mcy;&amp;ocy; &amp;vcy;&amp;iecy;&amp;rcy;&amp;ncy;&amp;ucy;&amp;tcy;&amp;softcy; &amp;kcy;&amp;ocy;&amp;ncy;&amp;tcy;&amp;rcy;&amp;ocy;&amp;lcy;&amp;softcy; &amp;ncy;&amp;acy;&amp;dcy; &amp;lcy;&amp;iecy;&amp;scy;&amp;ncy;&amp;ycy;&amp;mcy;&amp;icy; &amp;bcy;&amp;ocy;&amp;gcy;&amp;acy;&amp;tcy;&amp;scy;&amp;tcy;&amp;vcy;&amp;acy;&amp;mcy;&amp;icy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26" cy="105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3C07ED" w:rsidRPr="003C07ED" w:rsidRDefault="003C07ED" w:rsidP="003C07E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07E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Татьяна Анатольевна Гигель </w:t>
            </w:r>
          </w:p>
          <w:p w:rsidR="003C07ED" w:rsidRPr="003C07ED" w:rsidRDefault="003C07ED" w:rsidP="003C07E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C07ED">
              <w:rPr>
                <w:rFonts w:ascii="Times New Roman" w:hAnsi="Times New Roman" w:cs="Times New Roman"/>
                <w:sz w:val="24"/>
                <w:szCs w:val="24"/>
              </w:rPr>
              <w:t>Член Комитета Совета Федерации по аграрно-продовольственной политике и природопользованию</w:t>
            </w:r>
          </w:p>
        </w:tc>
      </w:tr>
    </w:tbl>
    <w:p w:rsidR="003C07ED" w:rsidRDefault="003C07ED" w:rsidP="003C07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Государству необходимо вернуть контроль над лесными богатствами 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Совете Федерации предложили дополнить Стратегию по развитию лесопромышленного комплекса (ЛПК) до 2030 года тремя направлениями: реструктуризацией лесозаготовительной промышленности, курсом на возрождение науки и восстановлением отечественного машиностроения. О том, для чего это нужно, «Парламентской газете» рассказала член Комитета палаты регионов по аграрно-продовольственной политике и природопользованию </w:t>
      </w:r>
      <w:hyperlink r:id="rId5" w:history="1">
        <w:r w:rsidRPr="003C07E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Татьяна Гигель</w:t>
        </w:r>
      </w:hyperlink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Татьяна Анатольевна, вклад лесопромышленного комплекса в ВВП страны с 1990 года сократился в 3,5 раза. С чем это связано?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Деградация ЛПК является следствием целого комплекса причин. Одна из главных причин, по мнению экспертного сообщества, — утрата органа управления лесопромышленным комплексом как самостоятельной структуры. Вторая причина — развал базовой отрасли ЛПК — лесозаготовительной промышленности. В годы перестройки пошла активная приватизация: крупные леспромхозы развалились на множество мелких хозяйств.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 пришёл частный инвестор, который должен просчитывать каждую копейку и эффективно использовать федеральные лесные ресурсы. Но, к сожалению, как показывает статистика и анализ, только единицы лесопромышленных комплексов держатся на плаву. В основе же своей крупные леспромхозы попросту прекратили существование. Одновременно произошло серьёзное сокращение финансирования со стороны государства на строительство лесных дорог, лесоустройство, лесопатологические исследования и так далее.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Что, по вашему мнению, сегодня необходимо сделать для восстановления ЛПК?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Одна из самых важных задач лесопромышленного комплекса — реструктуризация лесозаготовительной промышленности. Без проявления побудительной воли государства реструктуризация отрасли может затянуться на десятилетия: владельцев некоторых малых предприятий их положение вполне устраивает — на хлеб с маслом они зарабатывают. А вот государство </w:t>
      </w: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положение устраивать не может. Леса России — федеральная собственность. И эффективное использование этой собственности — прямая обязанность государства. Необходима политика, направленная на стимулирование интеграции и модернизации лесозаготовительной промышленности. Эта политика должна проводиться на федеральном, региональном и местном уровнях.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пункт — создание самостоятельного органа регулирования лесной отрасли. Сегодня вопросы, связанные с лесопромышленным комплексом, рассматриваются в нескольких ведомствах — ими занимаются и в Минприроды, и в Минэкономики, и в Минпроме. И получается, как в поговорке «у семи нянек дитя без глазу». А ведь когда-то было одно отраслевое министерство, которое занималось всем - начиная от науки и заканчивая реальным сектором экономики!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  <w:t xml:space="preserve">◊ </w:t>
      </w:r>
      <w:r w:rsidRPr="003C07E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  <w:t>Леса России — федеральная собственность. И эффективное использование этой собственности — прямая обязанность государства.</w:t>
      </w:r>
    </w:p>
    <w:p w:rsidR="003C07ED" w:rsidRPr="003C07ED" w:rsidRDefault="003C07ED" w:rsidP="003C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может быть два пути. Нужна либо очень грамотная координация работы указанных министерств и ведомств, либо должен быть один хозяин, который бы эффективно, грамотно, по-государственному использовал бы эти природные ресурсы. По мнению экспертного сообщества, примером грамотного решения этой проблемы могут служить лесные комитеты (департаменты) многих регионов страны, в которых совместно работают специалисты лесного хозяйства и лесной промышленности. Единый орган управления можно практически без затрат создать на базе Федерального агентства лесного хозяйства. Да и успех реализации новой Стратегии развития лесопромышленного комплекса, которую сейчас разрабатывают по заказу Минпромторга, напрямую зависит от наличия общего стратега. В противном случае разработка новой стратегии столкнется при реализации с теми же трудностями, о чём красноречиво говорят результаты реализации Стратегии-2020.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Чем новая стратегия принципиально отличается от Стратегии-2020?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Нынешняя стратегия на первый взгляд составлена профессионально, в ней ставятся амбициозные задачи, в основном по развитию лесоперерабатывающего производства. Но в ней, как и в Стратегии-2020, не выявлена отрасль, неудовлетворительная работа которой является главной причиной плохой работы всех других отраслей. Речь идёт о базовой отрасли ЛПК — лесозаготовительной промышленности, которая в значительной степени разрушена в процессе перехода на рыночные отношения.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сырьё — это самая большая статья затрат в себестоимости производства всех видов лесобумажной продукции, она достигает 35 процентов. Устранение проблем этой отрасли (ЛПК — прим. ред.) позволит </w:t>
      </w: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эффективность работы всех других отраслей. Между тем разработчики стратегии не включили эту отрасль в документ и предложили оказывать государственную поддержку неудовлетворительно работающим отраслям ЛПК, включая целлюлозно-бумажную промышленность, что совершенно нереально исходя из объёмов необходимых для этого финансовых ресурсов. Нам удалось добиться включения лесозаготовительной промышленности в последнюю редакцию стратегии, однако анализ проблем этой отрасли и предложения по их устранению в ней отсутствуют.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последней версии Стратегии-2030 отсутствуют и предложения по восстановлению науки ЛПК, которая разрушена, лесного машиностроения. А главное - не даются рекомендации по совершенствованию системы управления лесным комплексом. Поэтому мы опасаемся, что для ЛПК продолжатся нелёгкие времена.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Вы упомянули необходимость восстановления науки. Речь о возрождении отраслевых научных институтов?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мировой опыт, в том числе опыт бывшего СССР, где много внимания уделялось научным разработкам, свидетельствует о корреляции развития науки и эффективности производства. Между тем интенсивность исследований по тематикам лесного комплекса в России находится на крайне низком уровне.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  <w:t xml:space="preserve">◊ </w:t>
      </w:r>
      <w:r w:rsidRPr="003C07E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  <w:t>Нам удалось добиться включения лесозаготовительной промышленности в последнюю редакцию стратегии, однако анализ проблем этой отрасли и предложения по их устранению в ней отсутствуют.</w:t>
      </w:r>
    </w:p>
    <w:p w:rsidR="003C07ED" w:rsidRPr="003C07ED" w:rsidRDefault="003C07ED" w:rsidP="003C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​Расходы на НИОКР составляют от 0,01 до 0,1 процента отраслевого ВВП, что существенно ниже среднего зарубежного уровня — 1,4 процента, и уровня стран-лидеров (Финляндия — 2 процента, Норвегия — 3,1 процента). Причём более всего пострадала наука ЛПК, численность кадров которой сегодня составляет всего несколько десятков человек. А без возрождения науки ЛПК эффективная реализация стратегии невозможна.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Чем со своей стороны могут помочь развитию ЛПК парламентарии?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экспертов Совета Федерации направлена на устранение ошибок, допущенных в Стратегии развития лесопромышленного комплекса до 2030 года. Её, по нашему мнению, необходимо дополнить тремя базовыми направлениями, благодаря которым вся стратегия будет успешна: уделить достойное место лесозаготовительной промышленности как базовой отрасли ЛПК, взять курс на возрождение науки и отечественного машиностроения.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следует продолжить работу по дополнению нормативно-правовой базы. В последние три года в Лесной кодекс внесено много изменений и дополнений, но следует признать, что этого недостаточно. Например, предстоит детально проанализировать условия аренды лесных участков и её эффективность. В договорах аренды должны быть прописаны обязательства арендаторов не только по увеличению объёмов производства, но и по лесовосстановлению и развитию лесозаготовительных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редприятий деревообрабатывающих производств, как это делают в Канаде.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Татьяна Анатольевна, а есть ли надежда на то, что в случае принятия продуманной стратегии лесопромышленный комплекс восстановится в обозримом будущем?</w:t>
      </w:r>
    </w:p>
    <w:p w:rsidR="003C07ED" w:rsidRPr="003C07ED" w:rsidRDefault="003C07ED" w:rsidP="003C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Лесное хозяйство способно восстановиться в кратчайшие сроки — как это произошло с отечественным сельским хозяйством в условиях санкций и политики импортозамещения. Просто государство должно грамотно подходить к координации и планированию, строить лесохозяйственные дороги, возрождать отраслевую науку, поднимать на прежний уровень отечественное машиностроение и заняться работами по лесоустройству. Я говорю не о монополизации производства, а о возможности успешного государственно-частного партнёрства. Потому что лес — это государственные ресурсы. И государство должно ставить задачи, чтобы иметь доход от того, что оно эти лесные ресурсы сегодня передаёт бизнесу.</w:t>
      </w:r>
    </w:p>
    <w:p w:rsidR="00BC7A39" w:rsidRDefault="00BC7A39" w:rsidP="003C07ED">
      <w:pPr>
        <w:jc w:val="both"/>
        <w:rPr>
          <w:sz w:val="28"/>
          <w:szCs w:val="28"/>
        </w:rPr>
      </w:pPr>
    </w:p>
    <w:p w:rsidR="003C07ED" w:rsidRPr="003C07ED" w:rsidRDefault="003C07ED" w:rsidP="003C07ED">
      <w:pPr>
        <w:jc w:val="both"/>
        <w:rPr>
          <w:rFonts w:ascii="Times New Roman" w:hAnsi="Times New Roman" w:cs="Times New Roman"/>
          <w:sz w:val="28"/>
          <w:szCs w:val="28"/>
        </w:rPr>
      </w:pPr>
      <w:r w:rsidRPr="003C07ED">
        <w:rPr>
          <w:rFonts w:ascii="Times New Roman" w:hAnsi="Times New Roman" w:cs="Times New Roman"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C07ED">
          <w:rPr>
            <w:rStyle w:val="a4"/>
            <w:rFonts w:ascii="Times New Roman" w:hAnsi="Times New Roman" w:cs="Times New Roman"/>
            <w:sz w:val="28"/>
            <w:szCs w:val="28"/>
          </w:rPr>
          <w:t>Парламентская газета</w:t>
        </w:r>
      </w:hyperlink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07ED" w:rsidRPr="003C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D"/>
    <w:rsid w:val="00231682"/>
    <w:rsid w:val="003529AA"/>
    <w:rsid w:val="003C07ED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9F66-442B-4D3A-9CEF-20B4547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0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p.ru/economics/gosudarstvu-neobkhodimo-vernut-kontrol-nad-lesnymi-bogatstvami.html" TargetMode="External"/><Relationship Id="rId5" Type="http://schemas.openxmlformats.org/officeDocument/2006/relationships/hyperlink" Target="http://www.pnp.ru/person/tatyana--gig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2017-10-30T13:43:00Z</dcterms:created>
  <dcterms:modified xsi:type="dcterms:W3CDTF">2017-10-30T13:54:00Z</dcterms:modified>
</cp:coreProperties>
</file>