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C6" w:rsidRPr="000210C6" w:rsidRDefault="000210C6" w:rsidP="000210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повысится уровень доверия к субъектам МСП, не придется к</w:t>
      </w:r>
      <w:r w:rsidR="00973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рупных заказчиков давить квотой</w:t>
      </w:r>
    </w:p>
    <w:p w:rsidR="000210C6" w:rsidRDefault="000210C6" w:rsidP="000210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10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Гендиректор Корпорации МСП Александр Браверман </w:t>
      </w:r>
      <w:r w:rsidR="00F05F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рассказал </w:t>
      </w:r>
      <w:r w:rsidRPr="000210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том, как бизнесу получить рынки сбыта</w:t>
      </w:r>
      <w:bookmarkStart w:id="0" w:name="_GoBack"/>
      <w:bookmarkEnd w:id="0"/>
    </w:p>
    <w:p w:rsidR="000210C6" w:rsidRDefault="000210C6" w:rsidP="000210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0C6" w:rsidRPr="000210C6" w:rsidRDefault="000210C6" w:rsidP="000210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A84A09" wp14:editId="74AE645F">
            <wp:extent cx="5940425" cy="4009418"/>
            <wp:effectExtent l="0" t="0" r="3175" b="0"/>
            <wp:docPr id="1" name="Рисунок 1" descr="https://im9.kommersant.ru/Issues.photo/DAILY/2017/097/KMO_158886_00018_1_t222_22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9.kommersant.ru/Issues.photo/DAILY/2017/097/KMO_158886_00018_1_t222_2229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C6" w:rsidRDefault="000210C6" w:rsidP="000210C6">
      <w:pPr>
        <w:pStyle w:val="b-articletext"/>
        <w:jc w:val="both"/>
        <w:rPr>
          <w:rStyle w:val="b-articleintro"/>
          <w:sz w:val="28"/>
          <w:szCs w:val="28"/>
        </w:rPr>
      </w:pP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rStyle w:val="b-articleintro"/>
          <w:sz w:val="28"/>
          <w:szCs w:val="28"/>
        </w:rPr>
        <w:t xml:space="preserve">Федеральные власти постоянно говорят о поддержке малого и среднего бизнеса. Но не у всех предпринимателей есть возможность поучаствовать в тендерах крупных банков и госкомпаний. Как представители малого и среднего бизнеса договариваются с заказчиками и как им приходится подстраиваться под риски, создаваемые чиновниками, в интервью "Ъ" рассказал гендиректор Корпорации МСП </w:t>
      </w:r>
      <w:r w:rsidRPr="000210C6">
        <w:rPr>
          <w:rStyle w:val="b-articleintro"/>
          <w:b/>
          <w:bCs/>
          <w:sz w:val="28"/>
          <w:szCs w:val="28"/>
        </w:rPr>
        <w:t>Александр Браверман.</w:t>
      </w:r>
      <w:r w:rsidRPr="000210C6">
        <w:rPr>
          <w:rStyle w:val="b-articleintro"/>
          <w:sz w:val="28"/>
          <w:szCs w:val="28"/>
        </w:rPr>
        <w:t xml:space="preserve">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t>— Часто общаясь как с членами "Опоры Росси", защищающей интересы малого и среднего бизнеса, так и с самими предпринимателями, складывается ощущение, что крупным заказчикам, в том числе и госкомпаниям, не особо хочется заниматься закупками у субъектов МСП...</w:t>
      </w:r>
      <w:r w:rsidRPr="000210C6">
        <w:rPr>
          <w:sz w:val="28"/>
          <w:szCs w:val="28"/>
        </w:rPr>
        <w:t xml:space="preserve">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Но помимо ощущений есть и реальность...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lastRenderedPageBreak/>
        <w:t xml:space="preserve">— Реальность, возможно, отражена в статистике той же "Опоры России"? Проведенный организацией опрос 2 тыс. предпринимателей показал, что с середины 2015 года по третий квартал 2016 года доля субъектов МСП, участвующих в госзакупках, сократилась с 24% до 15%. Одна из причин — выдвигаемые теми же госзаказчиками требования зачастую трудно выполнить...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У крупнейших компаний с госучастием требования к закупкам всегда были строгие. Между тем объем рынка закупок у субъектов МСП по итогам 2016 года превысил 1,511 трлн руб. Это данные, подтвержденные Федеральным казначейством, Федеральной налоговой службой. Конечно, всем субъектам МСП хочется получить доступ к такому капиталоемкому рынку, но надо и соответствовать требованиям заказчиков — это же логично. В списке 40 крупнейших заказчиков из числа госкомпаний значатся "Роснефть", РЖД, "Ростех", "Ростелеком", "Россети" и т. д. Крупным компаниям выгоднее закупать у предприятий малого и среднего формата, так как субъекты МСП во время торгов охотно идут на снижение стартовой цены. В среднем по рынку в прошлом году снижение составило 17,8% — это существенный показатель.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t>— Что нужно сделать для роста объемов закупок у представителей малого и среднего бизнеса?</w:t>
      </w:r>
      <w:r w:rsidRPr="000210C6">
        <w:rPr>
          <w:sz w:val="28"/>
          <w:szCs w:val="28"/>
        </w:rPr>
        <w:t xml:space="preserve">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Закупки крупнейших компаний с госучастием у малого и среднего бизнеса — это как улица с двусторонним движением. Зная, как это движение регулируется, можно понять механизмы, необходимые для роста этого сектора. В чем заключается двустороннее движение? Сегодня лидерами в закупках у субъектов МСП являются 225 крупнейших компаний и целый ряд крупных банков, включая Сбербанк и ВТБ. Они сейчас начали анализировать, насколько субъекты малого и среднего предпринимательства удовлетворяют требованиям по качеству предоставляемой продукции и услуг, а также по времени поставок и завершения работ. Законное требование? Законное. Далее, группа "Интерфакс", победившая в тендере, анализирует прозрачность в сфере закупок у МСП по восьми базовым параметрам, среди которых, например, возможность аффилированности менеджмента компании-заказчика с победителем. Кстати, таких случаев было выявлено мало — не более 0,9%. Кроме того, изучаются объемы закупок у единственного поставщика: если у компаний, не входящих в круг субъектов МСП, этот показатель составляет 63%, то у малого и среднего бизнеса — в 2,6 раза ниже. Это говорит о том, что среди субъектов МСП конкуренция выше, чем у крупных поставщиков товаров и услуг. Поэтому сейчас важно отрегулировать двустороннее движение, о котором мы говорили. Когда повысится уровень доверия к субъектам МСП, не придется крупных заказчиков давить квотой, обязывая их работать с поставщиками малого и среднего бизнеса. Мы хотим делать это больше экономическими методами, нежели административными.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lastRenderedPageBreak/>
        <w:t xml:space="preserve">— В одной из недавних презентаций вашей корпорации указывалось, что существенный объем поставок закупок — примерно на 217 млрд руб.— приходился на субъекты МСП, созданные в 2008 году. То есть за последние годы все меньше россиян стремятся открыть собственное дело?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Нет, эти показатели не свидетельствуют об этом. Это, напротив, говорит о том, что образовалось значительное число устойчивых поставщиков из числа субъектов МСП. Что касается снижения или роста количества предприятий малого и среднего бизнеса, то, наоборот, наблюдается рост зарегистрированных субъектов МСП. Другой вопрос, каков процент, как мы называем, спящих предпринимателей, сдающих нулевую налоговую декларацию — то есть тех, кто зарегистрировал свое предприятие, но никакой деятельности не ведет.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t xml:space="preserve">— И каков процент "спящих"?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Точные данные лучше спросить у ФНС. По некоторым экспертным оценкам, таких субъектов МСП около 20% от общего числа. Поэтому в этом случае двумя базовыми показателями являются рост объема производства, который дают субъекты МСП, и увеличение количества занятых в этом секторе. Бесспорно, лучше, когда растет количество предприятий малых и средних, </w:t>
      </w:r>
      <w:r w:rsidRPr="000210C6">
        <w:rPr>
          <w:sz w:val="28"/>
          <w:szCs w:val="28"/>
        </w:rPr>
        <w:t>плюс — это</w:t>
      </w:r>
      <w:r w:rsidRPr="000210C6">
        <w:rPr>
          <w:sz w:val="28"/>
          <w:szCs w:val="28"/>
        </w:rPr>
        <w:t xml:space="preserve"> развивающиеся предприятия на базе уже действующих, то мы не видим здесь ничего плохого.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t>— В каких регионах больше всего заказчики работают с субъектами МСП?</w:t>
      </w:r>
      <w:r w:rsidRPr="000210C6">
        <w:rPr>
          <w:sz w:val="28"/>
          <w:szCs w:val="28"/>
        </w:rPr>
        <w:t xml:space="preserve">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На первом месте, конечно же, Москва, на долю которой в 2016 году пришлось закупок у субъектов МСП на общую сумму 673,6 млрд руб., затем — Санкт-Петербург (105,4 млрд руб.), Московская область (96,4 млрд руб.) и Татарстан (39,7 млрд руб.).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t>— Вы называете города и регионы, где, собственно, открыть свое дело несложно, учитывая огромный рынок сбыта. Насколько вообще региональные власти заинтересованы содействовать развитию малого и среднего бизнеса?</w:t>
      </w:r>
      <w:r w:rsidRPr="000210C6">
        <w:rPr>
          <w:sz w:val="28"/>
          <w:szCs w:val="28"/>
        </w:rPr>
        <w:t xml:space="preserve">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В разных регионах власти по-разному действуют в отношении малого и среднего бизнеса. В стране есть 17 наиболее активных регионов, где сосредоточена максимальная активность субъектов МСП. Еще около 50 регионов, где эту активность можно </w:t>
      </w:r>
      <w:r w:rsidRPr="000210C6">
        <w:rPr>
          <w:sz w:val="28"/>
          <w:szCs w:val="28"/>
        </w:rPr>
        <w:t>оценить,</w:t>
      </w:r>
      <w:r w:rsidRPr="000210C6">
        <w:rPr>
          <w:sz w:val="28"/>
          <w:szCs w:val="28"/>
        </w:rPr>
        <w:t xml:space="preserve"> как среднюю. Есть регионы, где власти все еще по инерции относятся к малому и среднему бизнесу и с ними работать сложно, но ситуация рано или поздно все равно изменится.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lastRenderedPageBreak/>
        <w:t xml:space="preserve">— У нас малый и средний бизнес подвержен и управленческим рискам, возникающим из-за действий властей. Возьмем, например, Москву, где каждое лето реализуется программа "Моя улица"...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Хорошая программа. Чем она может не нравиться?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t xml:space="preserve">— Механизмами реализации — пока улицы роют, бизнес арендаторов объектов стрит-ритейла замораживается, потому что потенциальный покупатель не хочет ходить вокруг ограждений...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У нас с вами разные оценки происходящего. Москва дает массу возможностей малому и среднему бизнесу. К тому же действия властей, напротив, приводят к существенному снижению для субъектов МСП издержек на управленческие расходы, электрическую энергию и т. д. Кроме того, городские власти сейчас задают вектор к некоему цивилизованному формату ведения бизнеса. Иначе говоря, в Москве прививается иная культура бизнеса. Да, это не мгновенный эффект, но это и не десятилетия совсем. Но, конечно, нельзя говорить, что нет никаких рисков. Например, количество различных проверок субъектов МСП, по разным оценкам, снижается на незначительную цифру. Мешает иногда и противоречивый характер нормативных актов. Но это характерно не только для Москвы.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t xml:space="preserve">— Насколько сейчас у субъектов МСП открыт доступ к кредитным ресурсам? Насколько эффективна Национальная гарантийная система, которая позволяет предпринимателям получить поручительство перед банками?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Деятельность участников Национальной гарантийной системы — а это, собственно, сама наша корпорация, МСП-банк как наша дочерняя структура и региональные гарантийные организации — по выдаче гарантий и поручительств по итогам 2016 года позволила субъектам МСП привлечь финансирование на общую сумму 172 млрд руб. Объем выданных нами гарантий и поручительств по итогам 2016 года составил 100,1 млрд руб.— это почти в четыре раза больше, чем в позапрошлом году. С января по май этого года объем финансирования субъектов МСП уже достиг 78,4 млрд руб. Есть два канала поступления заявок от субъектов МСП — это банковский канал, а также корпоративный канал (отраслевых ассоциаций, общественных организаций, организаций инфраструктуры поддержки малого предпринимательства, федеральных и региональных органов исполнительной власти). Доля корпоративного канала в общем объеме выданных Корпорацией МСП гарантий в текущем году составляет более 60%. Больше всего гарантий было выдано в Москве (их общая сумма составила 3,84 млрд руб.), Татарстане (3,71 млрд руб.), Московской области (3,17 млрд руб.). </w:t>
      </w:r>
    </w:p>
    <w:p w:rsidR="000210C6" w:rsidRDefault="000210C6" w:rsidP="000210C6">
      <w:pPr>
        <w:pStyle w:val="b-articletext"/>
        <w:jc w:val="both"/>
        <w:rPr>
          <w:b/>
          <w:bCs/>
          <w:sz w:val="28"/>
          <w:szCs w:val="28"/>
        </w:rPr>
      </w:pP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lastRenderedPageBreak/>
        <w:t xml:space="preserve">— Заработала ли реально анонсированная ранее Корпорацией МСП </w:t>
      </w:r>
      <w:hyperlink r:id="rId6" w:history="1">
        <w:r w:rsidRPr="000210C6">
          <w:rPr>
            <w:rStyle w:val="a3"/>
            <w:b/>
            <w:bCs/>
            <w:sz w:val="28"/>
            <w:szCs w:val="28"/>
          </w:rPr>
          <w:t>"Программа 6,5"</w:t>
        </w:r>
      </w:hyperlink>
      <w:r w:rsidRPr="000210C6">
        <w:rPr>
          <w:b/>
          <w:bCs/>
          <w:sz w:val="28"/>
          <w:szCs w:val="28"/>
        </w:rPr>
        <w:t>?</w:t>
      </w:r>
      <w:r w:rsidRPr="000210C6">
        <w:rPr>
          <w:sz w:val="28"/>
          <w:szCs w:val="28"/>
        </w:rPr>
        <w:t xml:space="preserve">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>— В прошлом году объем финансирования по этой программе достиг 50,5 млрд руб. (Корпорация МСП совместно с ЦБ и Минэкономики запустила программу стимулирования кредитования субъектов МСП, реализующих проекты в приоритетных отраслях: ставка для кредитов не менее 5 млн руб. фиксируется на уровне 10,6% годовых для малых предприятий и 9,6% годовых — для средних предприятий. Банки, предоставляющие такие кредиты, имеют возможность получить рефинансирование в ЦБ по ставке 6,5</w:t>
      </w:r>
      <w:r w:rsidRPr="000210C6">
        <w:rPr>
          <w:sz w:val="28"/>
          <w:szCs w:val="28"/>
        </w:rPr>
        <w:t>%. —</w:t>
      </w:r>
      <w:r w:rsidRPr="000210C6">
        <w:rPr>
          <w:sz w:val="28"/>
          <w:szCs w:val="28"/>
        </w:rPr>
        <w:t> </w:t>
      </w:r>
      <w:r w:rsidRPr="000210C6">
        <w:rPr>
          <w:b/>
          <w:bCs/>
          <w:sz w:val="28"/>
          <w:szCs w:val="28"/>
        </w:rPr>
        <w:t>"Ъ"</w:t>
      </w:r>
      <w:r w:rsidRPr="000210C6">
        <w:rPr>
          <w:sz w:val="28"/>
          <w:szCs w:val="28"/>
        </w:rPr>
        <w:t xml:space="preserve">). Но мы считаем, что 50,5 млрд руб.— это не предел. Сейчас наша задача — показать до 1 июля этого года результат, который перед нами ставил ЦБ не только по объему, но и, если хотите, по качеству кредитов. Нам надо переходить от системообразующих банков с доминирующим государственным участием к региональным банкам. У нас есть четкий индикатор — в ближайшей перспективе региональные банки должны выдать в рамках "Программы 6,5" 13,4 млрд руб. Если мы этого добьемся, то Центробанк, возможно, расширит нам лимит по этой программе еще и на вторую половину нынешнего года.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t xml:space="preserve">— Какой резон региональным банкам участвовать в этой программе?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Банки получают дешевое фондирование от ЦБ под ставку 6,5%. За счет этого фондирования предоставляют льготные кредиты своим клиентам--субъектам МСП, обеспечивая таким образом гарантированный сбыт своего кредитного продукта.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t>— Еще в прошлом году вы заявляли о создании в интернете бизнес-навигатора для субъектов МСП. Заработал ли этот ресурс?</w:t>
      </w:r>
      <w:r w:rsidRPr="000210C6">
        <w:rPr>
          <w:sz w:val="28"/>
          <w:szCs w:val="28"/>
        </w:rPr>
        <w:t xml:space="preserve">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Конечно. С января этого года </w:t>
      </w:r>
      <w:hyperlink r:id="rId7" w:history="1">
        <w:r w:rsidRPr="00973C68">
          <w:rPr>
            <w:rStyle w:val="a3"/>
            <w:sz w:val="28"/>
            <w:szCs w:val="28"/>
          </w:rPr>
          <w:t>бизнес-навигатор</w:t>
        </w:r>
      </w:hyperlink>
      <w:r w:rsidRPr="000210C6">
        <w:rPr>
          <w:sz w:val="28"/>
          <w:szCs w:val="28"/>
        </w:rPr>
        <w:t xml:space="preserve"> охватывает 169 российских городов с численностью жителей более 100 тыс. человек. С помощью навигатора можно узнать, какой бизнес лучше открыть в своем городе, в каком месте, какие инвестиции и документы для этого понадобятся. Там же можно рассчитать примерный бизнес-план, узнать о спросе на товары и услуги выбранного бизнеса, конкурентах вокруг. Весь процесс занимает около 20 минут, что мы вместе с вами сейчас и сделали. Сервисами бизнес-навигатора для открытия или расширения своего дела сегодня воспользовались более 34 тыс. малых и средних компаний. К концу года мы стремимся довести эту цифру до 120 тыс.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Базой для расчета примерных бизнес-планов являются усредненные данные о более чем 5 тыс. реальных успешных предприятий малого бизнеса и параметрах франшиз, проверенных экспертами отраслевых профессиональных объединений. Данные о конкурентах предоставлены компанией 2ГИС: в системе содержится 844 тыс. организаций. Расчет спроса </w:t>
      </w:r>
      <w:r w:rsidRPr="000210C6">
        <w:rPr>
          <w:sz w:val="28"/>
          <w:szCs w:val="28"/>
        </w:rPr>
        <w:lastRenderedPageBreak/>
        <w:t xml:space="preserve">на товары и услуги выбранного бизнеса основан на данных о реальном потреблении более 900 товаров и более 100 видов услуг, предоставленных компанией "РОМИР Панель". Плюс навигатор позволяет через систему "ТАСС Бизнес", являющуюся сервисом портала бизнес-навигатора МСП, проверить контрагентов, разместить информацию о своей компании, отслеживать тендеры и закупки по заданным критериям, получить аналитическую поддержку, включая интерактивные макроэкономические отчеты по материалам Росстата, ЦБ и ФНС, открыть интернет-представительство компании с помощью сервиса "Поток", также являющегося частью бизнес-навигатора.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t>— Правильно ли я понимаю, что большая часть поддержки оказывается все-таки субъектам МСП в средних и крупных городах?</w:t>
      </w:r>
      <w:r w:rsidRPr="000210C6">
        <w:rPr>
          <w:sz w:val="28"/>
          <w:szCs w:val="28"/>
        </w:rPr>
        <w:t xml:space="preserve">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Не совсем так. У нас есть специальная программа по поддержке субъектов МСП в моногородах. Наша корпорация оказала кредитную или гарантийную поддержку объемом более 5,8 млрд руб. в 160 моногородах. Но если говорить по программе о малом и среднем бизнесе, это вообще сквозная программа. Она касается и моногородов, и той новой среды, которая сейчас создается в регионах, и наращивания объемов несырьевого экспорта, где доля малого и среднего бизнеса крайне низка, но сейчас делается все, чтобы ее повысить. Это не только планы, это конкретные действия. Это называется кросс-менеджмент. Курирует процесс первый вице-премьер Игорь Шувалов, а руководителем проектного офиса, в том числе и в той части, где кросс-менеджмент, является ваш покорный слуга.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Мы считаем, что есть два направления, по которым надо оказывать субъектам малого и среднего предпринимательства поддержку в моногородах. Первое, это альтернативные градообразующему предприятию бизнесы. Например, кафе, рестораны, фитнес-клубы. Но есть и второе направление, которое касается непосредственно самого градообразующего предприятия. Если сегодня завод поставляет продукцию в том объеме, в котором она востребована, у предприятия появляются некие свободные площади. И таким примером может служить КамАЗ с его "Кип-мастером". Это кластер, созданный на свободных площадках КамАЗа, поскольку спрос сжался определенным образом, а там есть и электричество, и газ, и вода. В этом кластере было предложено поработать субъектам МСП, которые начали производить и поставлять комплектующие для основного производства на КамАЗе, а затем и для других компаний. Если мы с вами возьмем второй пример кросс-менеджмента, то это, например, развитие несырьевого экспорта. В этом случае есть такой инструментарий, который называется инвестиционный лифт. Он объединяет усилия четырех институтов развития — это Фонд развития промышленности, Корпорация МСП, РФПИ и Российский экспортный центр. </w:t>
      </w:r>
    </w:p>
    <w:p w:rsidR="000210C6" w:rsidRDefault="000210C6" w:rsidP="000210C6">
      <w:pPr>
        <w:pStyle w:val="b-articletext"/>
        <w:jc w:val="both"/>
        <w:rPr>
          <w:b/>
          <w:bCs/>
          <w:sz w:val="28"/>
          <w:szCs w:val="28"/>
        </w:rPr>
      </w:pP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b/>
          <w:bCs/>
          <w:sz w:val="28"/>
          <w:szCs w:val="28"/>
        </w:rPr>
        <w:t>— Как действует механизм?</w:t>
      </w:r>
      <w:r w:rsidRPr="000210C6">
        <w:rPr>
          <w:sz w:val="28"/>
          <w:szCs w:val="28"/>
        </w:rPr>
        <w:t xml:space="preserve"> </w:t>
      </w:r>
    </w:p>
    <w:p w:rsidR="000210C6" w:rsidRPr="000210C6" w:rsidRDefault="000210C6" w:rsidP="000210C6">
      <w:pPr>
        <w:pStyle w:val="b-articletext"/>
        <w:jc w:val="both"/>
        <w:rPr>
          <w:sz w:val="28"/>
          <w:szCs w:val="28"/>
        </w:rPr>
      </w:pPr>
      <w:r w:rsidRPr="000210C6">
        <w:rPr>
          <w:sz w:val="28"/>
          <w:szCs w:val="28"/>
        </w:rPr>
        <w:t xml:space="preserve">— Фонд развития промышленности кредитует малый и средний бизнес, сейчас они тоже стремятся к дроблению, идут к малому бизнесу и кредитуют его на 50% в том случае, если плечо инициатора или сумма, которую дает инициатор, составляет не менее 15% от проекта. Дает 50% под 5% годовых. Очень хорошие условия, но 35% зависают. Мы приходим на эти 35% по "Программе 6,5". И тогда это получается выгодный кредит. Мы будем стремиться, чтобы все больше и больше финансировать стартапы и к проектному финансированию, которое сегодня для банка не очень привлекательно. Далее подключается РФПИ и РЭЦ. В партнерстве со структурами, которые назывались ранее, мы реализуем в Карелии проект по строительству компанией "Норд Гидро Белый Порог" малых гидроэлектростанций "Белопорожская ГЭС-1" и "Белопорожская ГЭС-2". </w:t>
      </w:r>
    </w:p>
    <w:p w:rsidR="00973C68" w:rsidRPr="00973C68" w:rsidRDefault="00973C68" w:rsidP="00973C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Источник: </w:t>
      </w:r>
      <w:hyperlink r:id="rId8" w:history="1">
        <w:r w:rsidRPr="00973C6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Коммерсантъ</w:t>
        </w:r>
      </w:hyperlink>
    </w:p>
    <w:p w:rsidR="00973C68" w:rsidRPr="00973C68" w:rsidRDefault="00973C68" w:rsidP="00973C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73C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Справочно:</w:t>
      </w:r>
    </w:p>
    <w:p w:rsidR="00973C68" w:rsidRPr="00973C68" w:rsidRDefault="00973C68" w:rsidP="00973C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Pr="00973C6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Браверман Александр Арнольдович</w:t>
        </w:r>
      </w:hyperlink>
    </w:p>
    <w:p w:rsidR="00973C68" w:rsidRPr="00973C68" w:rsidRDefault="00973C68" w:rsidP="00973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1 мая 1954 года в Харькове (Украина). Окончил Харьковский инженерно-экономический институт (1981), аспирантуру Московского института тонкой химической технологии (МИТХТ). </w:t>
      </w:r>
    </w:p>
    <w:p w:rsidR="00973C68" w:rsidRPr="00973C68" w:rsidRDefault="00973C68" w:rsidP="00973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 на Московском кабельном заводе, преподавал в МИТХТе. В 1995-1997 годах — президент Российской ассоциации маркетинга, председатель научно-консультационного совета Госкомимущества. В 1997-1999 годах — первый заместитель главы Госкомимущества, затем Мингосимущества. В январе--марте 1999 года исполнял обязанности министра. В 2000-2004 годах — первый замминистра имущественных отношений, статс-секретарь. В 2004 году стал советником министра экономического развития и торговли Германа Грефа. В 2006-2008 годах возглавлял комиссию по развитию рынка доступного жилья при Совете при президенте по реализации приоритетных национальных проектов. В 2008--2015 годах — гендиректор Фонда РЖС. В октябре 2015 года назначен гендиректором АО "Федеральная корпорация по развитию малого и среднего предпринимательства". </w:t>
      </w:r>
    </w:p>
    <w:p w:rsidR="00973C68" w:rsidRDefault="00973C68" w:rsidP="00973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экономических наук, профессор, автор научных работ по маркетингу. Награжден орденами Почета, "За заслуги перед Отечеством" IV степени. </w:t>
      </w:r>
    </w:p>
    <w:p w:rsidR="00973C68" w:rsidRDefault="00973C68" w:rsidP="00973C6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68" w:rsidRDefault="00973C68" w:rsidP="00973C6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68" w:rsidRDefault="00973C68" w:rsidP="00973C6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68" w:rsidRDefault="00973C68" w:rsidP="00973C6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68" w:rsidRPr="00973C68" w:rsidRDefault="00973C68" w:rsidP="00973C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 w:rsidRPr="00973C68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Корпорация МСП</w:t>
        </w:r>
      </w:hyperlink>
    </w:p>
    <w:p w:rsidR="00973C68" w:rsidRPr="00973C68" w:rsidRDefault="00973C68" w:rsidP="00973C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корпорация по развитию малого и среднего предпринимательства (АО "Корпорация МСП") создана на базе Агентства кредитных гарантий в соответствии с указом президента РФ "О мерах по дальнейшему развитию малого и среднего предпринимательства" от 5 июня 2015 года. Уставный капитал корпорации составил — 50 млрд руб. Акционером корпорации является государство в лице Росимущества (62,5%) и Внешэкономбанка (37,5%). Среди основных целей — оказание поддержки малому и среднему бизнесу, привлечение для этого денежных средств, расширение для таких предприятий доступа к закупкам некоторых заказчиков, сопровождение инвестиционных проектов. Приоритетными направлениями для гарантийной поддержки являются сельское хозяйство, строительство, обрабатывающее производство, транспорт и связь, производство и распределение электроэнергии, газа и воды, а также импортозамещающей продукции. С апреля 2016 года корпорации принадлежат 100% АО "МСП-банк" (предоставляет гарантии по проектам стоимостью до 50 млн руб.). Объем выданных гарантий и поручительств по итогам 2016 года составил 100,1 млрд руб., объем рынка закупок у субъектов МСП превысил 1,5 трлн руб. </w:t>
      </w:r>
    </w:p>
    <w:p w:rsidR="00973C68" w:rsidRDefault="00973C68" w:rsidP="00973C6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C68" w:rsidRPr="00973C68" w:rsidRDefault="00973C68" w:rsidP="00973C68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A39" w:rsidRPr="000210C6" w:rsidRDefault="00BC7A39" w:rsidP="000210C6">
      <w:pPr>
        <w:jc w:val="both"/>
        <w:rPr>
          <w:sz w:val="28"/>
          <w:szCs w:val="28"/>
        </w:rPr>
      </w:pPr>
    </w:p>
    <w:sectPr w:rsidR="00BC7A39" w:rsidRPr="0002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219F"/>
    <w:multiLevelType w:val="hybridMultilevel"/>
    <w:tmpl w:val="2B38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C6"/>
    <w:rsid w:val="000210C6"/>
    <w:rsid w:val="00231682"/>
    <w:rsid w:val="003529AA"/>
    <w:rsid w:val="008C1A8B"/>
    <w:rsid w:val="00973C68"/>
    <w:rsid w:val="00BC7A39"/>
    <w:rsid w:val="00F0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913D5-9396-4852-935F-880F2A34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02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0210C6"/>
  </w:style>
  <w:style w:type="character" w:styleId="a3">
    <w:name w:val="Hyperlink"/>
    <w:basedOn w:val="a0"/>
    <w:uiPriority w:val="99"/>
    <w:unhideWhenUsed/>
    <w:rsid w:val="000210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3312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vigator.smbn.ru/st/1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pmsp.ru/bankam/programma_stimuli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orpmsp.ru/ab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rpmsp.ru/about/upravlenie/braverman-aleksandr-arnoldovi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2017-06-02T06:51:00Z</dcterms:created>
  <dcterms:modified xsi:type="dcterms:W3CDTF">2017-06-02T07:44:00Z</dcterms:modified>
</cp:coreProperties>
</file>