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67" w:type="dxa"/>
        <w:tblInd w:w="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574"/>
        <w:gridCol w:w="7790"/>
        <w:gridCol w:w="1984"/>
      </w:tblGrid>
      <w:tr w:rsidR="00385F2E" w:rsidRPr="00A64BED" w:rsidTr="00275320">
        <w:trPr>
          <w:trHeight w:val="538"/>
        </w:trPr>
        <w:tc>
          <w:tcPr>
            <w:tcW w:w="148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85F2E" w:rsidRDefault="00385F2E" w:rsidP="00275320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Toc497130385"/>
            <w:bookmarkStart w:id="1" w:name="_GoBack"/>
            <w:bookmarkEnd w:id="1"/>
            <w:r w:rsidRPr="00A64B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ПРЯМАЯ ГАРАНТИЯ ДЛЯ </w:t>
            </w:r>
            <w:r w:rsidRPr="00644D90">
              <w:rPr>
                <w:rFonts w:ascii="Times New Roman" w:hAnsi="Times New Roman"/>
                <w:b/>
                <w:caps/>
                <w:sz w:val="28"/>
                <w:szCs w:val="28"/>
              </w:rPr>
              <w:t>сельскохозяйственных кооперативов</w:t>
            </w:r>
            <w:r w:rsidRPr="00644D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В</w:t>
            </w:r>
            <w:r w:rsidRPr="00A64B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ЫДАВАЕМАЯ СОВМЕСТНО</w:t>
            </w:r>
            <w:bookmarkEnd w:id="0"/>
            <w:r w:rsidRPr="00A64B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85F2E" w:rsidRPr="00A64BED" w:rsidRDefault="00385F2E" w:rsidP="00275320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/>
                <w:b/>
                <w:color w:val="2E74B5"/>
                <w:sz w:val="28"/>
                <w:szCs w:val="28"/>
                <w:lang w:eastAsia="ru-RU"/>
              </w:rPr>
            </w:pPr>
            <w:bookmarkStart w:id="2" w:name="_Toc497130386"/>
            <w:r w:rsidRPr="00A64B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 ПОРУЧИТЕЛЬСТВОМ РГО </w:t>
            </w:r>
            <w:r w:rsidRPr="00C611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(СОГАРАНТИЯ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ДЛЯ </w:t>
            </w:r>
            <w:r w:rsidRPr="00644D90">
              <w:rPr>
                <w:rFonts w:ascii="Times New Roman" w:hAnsi="Times New Roman"/>
                <w:b/>
                <w:caps/>
                <w:sz w:val="28"/>
                <w:szCs w:val="28"/>
              </w:rPr>
              <w:t>сельскохозяйственных кооперативов</w:t>
            </w:r>
            <w:r w:rsidRPr="00C611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  <w:bookmarkEnd w:id="2"/>
          </w:p>
        </w:tc>
      </w:tr>
      <w:tr w:rsidR="00385F2E" w:rsidRPr="00A64BED" w:rsidTr="00275320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85F2E" w:rsidRPr="00A64BED" w:rsidRDefault="00385F2E" w:rsidP="0027532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Безотзывная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5F2E" w:rsidRPr="00A64BED" w:rsidTr="00275320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сегмент Заемщика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85F2E" w:rsidRPr="00A64BED" w:rsidRDefault="00385F2E" w:rsidP="0027532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Сельскохозяйственный п</w:t>
            </w:r>
            <w:r w:rsidRPr="00990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отребитель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/производственный кооператив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убъекты </w:t>
            </w:r>
            <w:r w:rsidRPr="00990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МСП </w:t>
            </w:r>
          </w:p>
        </w:tc>
      </w:tr>
      <w:tr w:rsidR="00385F2E" w:rsidRPr="00A64BED" w:rsidTr="00275320">
        <w:trPr>
          <w:trHeight w:val="378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85F2E" w:rsidRPr="00A64BED" w:rsidRDefault="00385F2E" w:rsidP="0027532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Коллегиального органа Корпорации, но не более указанного в разделе «Целевое назначение гарантии»</w:t>
            </w:r>
          </w:p>
        </w:tc>
      </w:tr>
      <w:tr w:rsidR="00385F2E" w:rsidRPr="00A64BED" w:rsidTr="00275320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85F2E" w:rsidRPr="00A64BED" w:rsidRDefault="00385F2E" w:rsidP="0027532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Коллегиального органа Корпорации</w:t>
            </w:r>
          </w:p>
        </w:tc>
      </w:tr>
      <w:tr w:rsidR="00385F2E" w:rsidRPr="00A64BED" w:rsidTr="00275320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85F2E" w:rsidRPr="00A64BED" w:rsidRDefault="00385F2E" w:rsidP="0027532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Российской Федерации</w:t>
            </w:r>
          </w:p>
        </w:tc>
      </w:tr>
      <w:tr w:rsidR="00385F2E" w:rsidRPr="00A64BED" w:rsidTr="00275320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Кредита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85F2E" w:rsidRPr="00A64BED" w:rsidRDefault="00385F2E" w:rsidP="0027532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Российской Федерации</w:t>
            </w:r>
          </w:p>
        </w:tc>
      </w:tr>
      <w:tr w:rsidR="00385F2E" w:rsidRPr="00AF2C8E" w:rsidTr="00275320">
        <w:trPr>
          <w:trHeight w:val="140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85F2E" w:rsidRPr="00A64BED" w:rsidRDefault="00385F2E" w:rsidP="0027532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0,75% годовых от суммы гарантии за весь срок действия гарантии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5F2E" w:rsidRPr="00AF2C8E" w:rsidRDefault="00385F2E" w:rsidP="0027532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сумме гарантии более 50 млн рублей вознаграждение за гарантию подлежит ежегодному перерасчету исходя из суммы основного долга по Кредиту по состоянию на дату нач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 следующего финансового года</w:t>
            </w:r>
            <w:r>
              <w:rPr>
                <w:rStyle w:val="a6"/>
                <w:rFonts w:ascii="Times New Roman" w:eastAsia="Times New Roman" w:hAnsi="Times New Roman"/>
                <w:szCs w:val="24"/>
                <w:lang w:eastAsia="ru-RU"/>
              </w:rPr>
              <w:footnoteReference w:customMarkFollows="1" w:id="1"/>
              <w:t>*</w:t>
            </w:r>
          </w:p>
        </w:tc>
      </w:tr>
      <w:tr w:rsidR="00385F2E" w:rsidRPr="00A64BED" w:rsidTr="00275320">
        <w:trPr>
          <w:trHeight w:val="19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Единовременно/ежегодно/1 раз в полгода/</w:t>
            </w: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85F2E" w:rsidRPr="00A64BED" w:rsidTr="00275320">
        <w:trPr>
          <w:trHeight w:val="450"/>
        </w:trPr>
        <w:tc>
          <w:tcPr>
            <w:tcW w:w="45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Гарантии предоставляются на следующие </w:t>
            </w:r>
            <w:r w:rsidRPr="00836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неторговые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торговые цели: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срок гарантии, мес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85F2E" w:rsidRPr="00F500D1" w:rsidTr="00275320">
        <w:trPr>
          <w:trHeight w:val="450"/>
        </w:trPr>
        <w:tc>
          <w:tcPr>
            <w:tcW w:w="45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5F2E" w:rsidRPr="00F500D1" w:rsidRDefault="00385F2E" w:rsidP="00275320">
            <w:pPr>
              <w:autoSpaceDE w:val="0"/>
              <w:autoSpaceDN w:val="0"/>
              <w:adjustRightInd w:val="0"/>
              <w:spacing w:after="0" w:line="240" w:lineRule="auto"/>
              <w:ind w:left="141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исполнения части обязательств Заемщиков (субъектов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малого и среднего предпринимательства) по Кредитным договорам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иным договорам кредитного характера, заключаемым с Банками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направляемым на цели приобретения основных средств в собственность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оплату платежей по договорам долгосрочной аренды, или создание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основных средств, включая строительство, реконструкцию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ремонт, финансирование на цели модернизации и инновации малых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средних предприятий, и/или на расчеты с поставщиками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подрядчиками в рамках строительства недвижимости, в том числе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целях создания готовой продукции (дальнейшей перепродажи 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недвижимости) (с учетом отнесения Заемщика только к Среднему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сегменту), а также в </w:t>
            </w:r>
            <w:r w:rsidRPr="0031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выданных Кредитов</w:t>
            </w:r>
            <w:r w:rsidRPr="003114C9">
              <w:rPr>
                <w:rStyle w:val="a6"/>
                <w:rFonts w:ascii="Times New Roman" w:eastAsia="Times New Roman" w:hAnsi="Times New Roman"/>
                <w:szCs w:val="24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1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исключением использования средств Кредита на цели предоставления займов и иных заимствований.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F2E" w:rsidRPr="00F500D1" w:rsidRDefault="00385F2E" w:rsidP="0027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</w:tr>
      <w:tr w:rsidR="00385F2E" w:rsidRPr="00AF2C8E" w:rsidTr="00275320">
        <w:trPr>
          <w:trHeight w:val="90"/>
        </w:trPr>
        <w:tc>
          <w:tcPr>
            <w:tcW w:w="45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F2E" w:rsidRPr="00AF2C8E" w:rsidRDefault="00385F2E" w:rsidP="00275320">
            <w:pPr>
              <w:spacing w:after="0" w:line="240" w:lineRule="auto"/>
              <w:ind w:left="141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условиями Кредитного договора допускается финансирование оборотных средств (цели некапитального характера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A3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исключением использования средств Кредита на цели предоставления займов и иных заимствований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то на данные цели (в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числе на уплату Корпорации вознаграждения за предоставление Независимой гарантии) должно направляться не более 30% от суммы Кредита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F2E" w:rsidRPr="00AF2C8E" w:rsidRDefault="00385F2E" w:rsidP="00275320">
            <w:pPr>
              <w:spacing w:after="0" w:line="240" w:lineRule="auto"/>
              <w:ind w:right="138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F2E" w:rsidRPr="00AF2C8E" w:rsidTr="00275320">
        <w:trPr>
          <w:trHeight w:val="191"/>
        </w:trPr>
        <w:tc>
          <w:tcPr>
            <w:tcW w:w="45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5F2E" w:rsidRPr="00644D90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требований Банка к Заемщику по гарантии, выданной или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выдаваемой Банком, в обеспечение исполнения Заемщиком 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обязательств по контракту, согласно федеральным законам № 44-ФЗ и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223-ФЗ (в том числе, включая поставку товаров без их изготовления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5F2E" w:rsidRPr="00AF2C8E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исполнителем контракта</w:t>
            </w:r>
            <w:r>
              <w:rPr>
                <w:rStyle w:val="a6"/>
                <w:rFonts w:ascii="Times New Roman" w:eastAsia="Times New Roman" w:hAnsi="Times New Roman"/>
                <w:szCs w:val="24"/>
                <w:lang w:eastAsia="ru-RU"/>
              </w:rPr>
              <w:footnoteReference w:id="3"/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и/или при отсутствии в целях контракта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инвестиционной составляющей)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F2E" w:rsidRPr="00AF2C8E" w:rsidRDefault="00385F2E" w:rsidP="00275320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385F2E" w:rsidRPr="00A64BED" w:rsidTr="00275320">
        <w:trPr>
          <w:trHeight w:val="90"/>
        </w:trPr>
        <w:tc>
          <w:tcPr>
            <w:tcW w:w="45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исполнения части обязательств Заемщиков (субъектов малого и среднего предпринимательства) по Кредитным договорам и иным договорам кредитного характера, заключаемым/заключенным с Банками, и направляемым на цели исполнения заключенного/заключаемого контракта согласно федеральным законам № 44-ФЗ и № 223-ФЗ (в том числе, включая поставку товаров без их изго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товления исполнителем контракта</w:t>
            </w:r>
            <w:r w:rsidRPr="00720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и/или при отсутствии в целях контракта</w:t>
            </w:r>
            <w:r>
              <w:rPr>
                <w:rStyle w:val="a6"/>
                <w:rFonts w:ascii="Times New Roman" w:eastAsia="Times New Roman" w:hAnsi="Times New Roman"/>
                <w:szCs w:val="24"/>
                <w:lang w:eastAsia="ru-RU"/>
              </w:rPr>
              <w:footnoteReference w:id="4"/>
            </w:r>
            <w:r w:rsidRPr="00720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инвестиционной составляющей)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385F2E" w:rsidRPr="00A64BED" w:rsidTr="00275320">
        <w:trPr>
          <w:trHeight w:val="90"/>
        </w:trPr>
        <w:tc>
          <w:tcPr>
            <w:tcW w:w="45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реструктурируемых/рефинансируемых Кредитов</w:t>
            </w:r>
            <w:r>
              <w:rPr>
                <w:rStyle w:val="a6"/>
                <w:rFonts w:ascii="Times New Roman" w:eastAsia="Times New Roman" w:hAnsi="Times New Roman"/>
                <w:szCs w:val="24"/>
                <w:lang w:eastAsia="ru-RU"/>
              </w:rPr>
              <w:footnoteReference w:id="5"/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</w:tr>
      <w:tr w:rsidR="00385F2E" w:rsidRPr="00A64BED" w:rsidTr="00275320">
        <w:trPr>
          <w:trHeight w:val="90"/>
        </w:trPr>
        <w:tc>
          <w:tcPr>
            <w:tcW w:w="45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Кредитов с целью пополнения оборотных средств (в том числе Кредитов торговым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кооперативам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предоставляемых на торговые цели), а также в обеспечение выданных Кредитов на эти цели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11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исключением использования средств Кредита на цели предоставления займов и иных заимствований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385F2E" w:rsidRPr="00A64BED" w:rsidTr="00275320">
        <w:trPr>
          <w:trHeight w:val="974"/>
        </w:trPr>
        <w:tc>
          <w:tcPr>
            <w:tcW w:w="45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Корпорации предоставляется по:</w:t>
            </w:r>
          </w:p>
          <w:p w:rsidR="00385F2E" w:rsidRPr="00A64BED" w:rsidRDefault="00385F2E" w:rsidP="00385F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заключаемым с Банками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Кредитным договорам и иным договорам кредитного характера; </w:t>
            </w:r>
          </w:p>
          <w:p w:rsidR="00385F2E" w:rsidRPr="00A64BED" w:rsidRDefault="00385F2E" w:rsidP="00385F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 ранее заключенным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Банками Кредитным договорам и иным договорам кредитного характера (в том числе, если кредитные средства в рамках Кредитного договора частично предоставлены Заемщику или не предоставлены).</w:t>
            </w: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kern w:val="24"/>
                <w:sz w:val="24"/>
                <w:szCs w:val="24"/>
                <w:u w:val="single"/>
                <w:lang w:eastAsia="ru-RU"/>
              </w:rPr>
              <w:t>По заключаемым</w:t>
            </w:r>
            <w:r w:rsidRPr="00A64BE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кредитования:</w:t>
            </w:r>
          </w:p>
          <w:p w:rsidR="00385F2E" w:rsidRPr="00A64BED" w:rsidRDefault="00385F2E" w:rsidP="00385F2E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кредит, заем;</w:t>
            </w:r>
          </w:p>
          <w:p w:rsidR="00385F2E" w:rsidRPr="00A64BED" w:rsidRDefault="00385F2E" w:rsidP="00385F2E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невозобновляемая кредитная линия;</w:t>
            </w:r>
          </w:p>
          <w:p w:rsidR="00385F2E" w:rsidRPr="00A64BED" w:rsidRDefault="00385F2E" w:rsidP="00385F2E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возобновляемая кредитная линия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385F2E" w:rsidRPr="00F67AA3" w:rsidRDefault="00385F2E" w:rsidP="00275320">
            <w:pPr>
              <w:pStyle w:val="a3"/>
              <w:spacing w:after="0" w:line="240" w:lineRule="auto"/>
              <w:ind w:left="86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highlight w:val="yellow"/>
                <w:lang w:eastAsia="ru-RU"/>
              </w:rPr>
            </w:pP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kern w:val="24"/>
                <w:sz w:val="24"/>
                <w:szCs w:val="24"/>
                <w:u w:val="single"/>
                <w:lang w:eastAsia="ru-RU"/>
              </w:rPr>
              <w:t>По ранее заключенным</w:t>
            </w:r>
            <w:r w:rsidRPr="00A64BE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Заемщиками </w:t>
            </w:r>
            <w:r w:rsidRPr="00A64BED">
              <w:rPr>
                <w:rFonts w:ascii="Times New Roman" w:eastAsia="Times New Roman" w:hAnsi="Times New Roman"/>
                <w:kern w:val="24"/>
                <w:sz w:val="24"/>
                <w:szCs w:val="24"/>
                <w:lang w:val="en-US" w:eastAsia="ru-RU"/>
              </w:rPr>
              <w:t>c</w:t>
            </w:r>
            <w:r w:rsidRPr="00A64BE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кредитования:</w:t>
            </w:r>
          </w:p>
          <w:p w:rsidR="00385F2E" w:rsidRPr="00A64BED" w:rsidRDefault="00385F2E" w:rsidP="00385F2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39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A64BE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кредит (гарантия Корпорации предоставляется только в случае, если условиями заключенного Кредитного договора предусмотрена выдача Кредита при условии оформления гарантии Корпорации/получения положительного решения Корпорации о предоставлении гарантии); </w:t>
            </w:r>
          </w:p>
          <w:p w:rsidR="00385F2E" w:rsidRPr="00A64BED" w:rsidRDefault="00385F2E" w:rsidP="00385F2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A64BE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невозобновляемая кредитная линия (гарантия предоставляется либо в случае, если условиями заключенного Кредитного договора предусмотрена выдача первого транша при условии оформления Гарантии Корпорации/получения положительного решения Корпорации о предоставлении гарантии, либо при выдаче очередного транша кредитной линии);</w:t>
            </w:r>
          </w:p>
          <w:p w:rsidR="00385F2E" w:rsidRPr="00A64BED" w:rsidRDefault="00385F2E" w:rsidP="00385F2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ind w:left="138" w:right="138" w:firstLine="4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A64BE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возобновляемая кредитная линия (гарантия предоставляется либо в случае, если условиями заключенного Кредитного договора предусмотрена выдача первого транша при условии оформления Гарантии Корпорации/получения положительного решения Корпорации о предоставлении гарантии, либо при выдаче очередного транша кредитной линии, либо в случае увеличения действующего лимита кредитной линии, либо увеличения задолженности в рамках действующего лимита кредитной линии за счет увеличения суммы обеспечения).  </w:t>
            </w:r>
          </w:p>
          <w:p w:rsidR="00385F2E" w:rsidRPr="00A64BED" w:rsidRDefault="00385F2E" w:rsidP="0027532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При этом лимит ответственности Корпорации рассчитывается исходя из кредитных требований по Кредиту (невозобновляемой/возобновляемой кредитной линии) в целом.</w:t>
            </w:r>
          </w:p>
          <w:p w:rsidR="00385F2E" w:rsidRPr="00A64BED" w:rsidRDefault="00385F2E" w:rsidP="00275320">
            <w:pPr>
              <w:spacing w:after="0" w:line="240" w:lineRule="auto"/>
              <w:ind w:left="170" w:right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5F2E" w:rsidRPr="00A64BED" w:rsidRDefault="00385F2E" w:rsidP="00275320">
            <w:pPr>
              <w:spacing w:after="0" w:line="240" w:lineRule="auto"/>
              <w:ind w:left="170" w:right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Гарантия Корпорации предоставляется по Кредиту на рефинансирование кредитов любого банка, выданных на инвестиционные цели </w:t>
            </w:r>
          </w:p>
        </w:tc>
      </w:tr>
      <w:tr w:rsidR="00385F2E" w:rsidRPr="00A64BED" w:rsidTr="00275320">
        <w:trPr>
          <w:trHeight w:val="65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Обязательное условие предоставления гарантии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выдается только при наличии по Кредитному договору обеспечения в виде поручительства РГО, обеспечивающего исполнение обязательств Заемщика по возврату Банку не менее 10% текущей суммы основного долга, невозвращенной в установленные Кредитным договором порядке и сроки без учета процентов за пользование Кредитом и иных платежей.</w:t>
            </w: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выдачи гарантии в Корпорацию должна быть предоставлена копия заключенного Договора поручительства, заверенная уполномоченным лицом Банка</w:t>
            </w:r>
          </w:p>
        </w:tc>
      </w:tr>
      <w:tr w:rsidR="00385F2E" w:rsidRPr="00A64BED" w:rsidTr="00275320">
        <w:trPr>
          <w:trHeight w:val="50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начала действия гарантии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гарантии начинается с момента ее выдачи при условии оплаты вознаграждения либо его части согласно установленному графику</w:t>
            </w:r>
          </w:p>
        </w:tc>
      </w:tr>
      <w:tr w:rsidR="00385F2E" w:rsidRPr="00A64BED" w:rsidTr="00275320">
        <w:trPr>
          <w:trHeight w:val="51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истечении 120 дней с даты исполнения кредитного обязательства, определяемой в соответствии с положениями Кредитного договора</w:t>
            </w:r>
          </w:p>
        </w:tc>
      </w:tr>
      <w:tr w:rsidR="00385F2E" w:rsidRPr="00A64BED" w:rsidTr="00275320">
        <w:trPr>
          <w:trHeight w:val="69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Корпорация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РГО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право требовать от Заемщика в порядке регресса возмещения сумм, уплаченных </w:t>
            </w:r>
            <w:r w:rsidRPr="00D91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Банку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Независимой гарантии. </w:t>
            </w:r>
          </w:p>
          <w:p w:rsidR="00385F2E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гарантийном лимите на Заемщика более 50 млн рублей: Корпорация реализует свои права по последующему залогу и/или поручительству, которым обеспечивается регрессное право Гаранта</w:t>
            </w: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ru-RU"/>
              </w:rPr>
            </w:pPr>
          </w:p>
        </w:tc>
      </w:tr>
      <w:tr w:rsidR="00385F2E" w:rsidRPr="00A64BED" w:rsidTr="00275320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Принципалу/Заемщику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сельскохозяйственные кооперативы</w:t>
            </w:r>
          </w:p>
        </w:tc>
      </w:tr>
      <w:tr w:rsidR="00385F2E" w:rsidRPr="00A64BED" w:rsidTr="00275320">
        <w:trPr>
          <w:trHeight w:val="58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Бенефициару/Банку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9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C1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Аккредитованный Корпорацией на основании </w:t>
            </w:r>
            <w:r w:rsidRPr="004F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внутренних документов Корпорации, определяющих процедуру такой аккредитации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Банк,</w:t>
            </w:r>
            <w:r w:rsidRPr="001C1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заключивший с Корпорацией соглашение о сотрудничестве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5F2E" w:rsidRPr="00A64BED" w:rsidTr="00275320">
        <w:trPr>
          <w:trHeight w:val="1111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вправе обратиться к Корпорации с требованием о совершении платежа по гарантии,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</w:t>
            </w: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вправе обратиться к РГО с требованием о совершении платежа по поручительству в сроки и порядке, установленные Договором поручительства. </w:t>
            </w: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и поручительство совместно обеспечивают исполнение обязательств Заемщика по возврату Банку в пределах 75% текущей суммы основного долга, невозвращенной в установленные Кредитным договором порядке и сроки без учета процентов за пользование Кредитом и иных платежей.</w:t>
            </w: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частичном погашении Кредита Заемщиком, размер ответственности Корпорации и РГО уменьшается пропорционально и не может составлять совместно более 75% текущей суммы основного долга. Размер требования к Корпорации и РГО определяется пропорционально размеру их участия в структуре совместного обеспечения.</w:t>
            </w: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Корпорации обеспечивает обязательства Заемщика, осуществляющего деятельность в торговой сфере, в пределах 50% текущей суммы основного долга, невозвращенной в установленные Кредитным договором порядке и сроки без учета процентов за пользование Кредитом и иных платежей</w:t>
            </w:r>
          </w:p>
        </w:tc>
      </w:tr>
      <w:tr w:rsidR="00385F2E" w:rsidRPr="00A64BED" w:rsidTr="00275320">
        <w:trPr>
          <w:trHeight w:val="60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Требование к поручительству РГО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поручительства РГО не может быть меньше срока действия гарантии минус 120 дней</w:t>
            </w:r>
          </w:p>
        </w:tc>
      </w:tr>
      <w:tr w:rsidR="00385F2E" w:rsidRPr="001C1242" w:rsidTr="00275320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A64BED" w:rsidRDefault="00385F2E" w:rsidP="0027532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Гарантийный случай </w:t>
            </w:r>
          </w:p>
        </w:tc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85F2E" w:rsidRPr="001C1242" w:rsidRDefault="00385F2E" w:rsidP="0027532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Просрочка исполнения Заемщиком (Принципалом) обязательства вернуть полностью или частично денежную сумму, полученную по договорам Кредита, в течение более чем 90 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 условии целевого использования Кредита</w:t>
            </w:r>
          </w:p>
        </w:tc>
      </w:tr>
    </w:tbl>
    <w:p w:rsidR="00DF36D8" w:rsidRDefault="00515DA7"/>
    <w:sectPr w:rsidR="00DF36D8" w:rsidSect="00385F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DA7" w:rsidRDefault="00515DA7" w:rsidP="00385F2E">
      <w:pPr>
        <w:spacing w:after="0" w:line="240" w:lineRule="auto"/>
      </w:pPr>
      <w:r>
        <w:separator/>
      </w:r>
    </w:p>
  </w:endnote>
  <w:endnote w:type="continuationSeparator" w:id="0">
    <w:p w:rsidR="00515DA7" w:rsidRDefault="00515DA7" w:rsidP="0038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DA7" w:rsidRDefault="00515DA7" w:rsidP="00385F2E">
      <w:pPr>
        <w:spacing w:after="0" w:line="240" w:lineRule="auto"/>
      </w:pPr>
      <w:r>
        <w:separator/>
      </w:r>
    </w:p>
  </w:footnote>
  <w:footnote w:type="continuationSeparator" w:id="0">
    <w:p w:rsidR="00515DA7" w:rsidRDefault="00515DA7" w:rsidP="00385F2E">
      <w:pPr>
        <w:spacing w:after="0" w:line="240" w:lineRule="auto"/>
      </w:pPr>
      <w:r>
        <w:continuationSeparator/>
      </w:r>
    </w:p>
  </w:footnote>
  <w:footnote w:id="1">
    <w:p w:rsidR="00385F2E" w:rsidRDefault="00385F2E" w:rsidP="00385F2E">
      <w:pPr>
        <w:pStyle w:val="a4"/>
        <w:jc w:val="both"/>
      </w:pPr>
      <w:r>
        <w:rPr>
          <w:rStyle w:val="a6"/>
        </w:rPr>
        <w:t>*</w:t>
      </w:r>
      <w:r>
        <w:t xml:space="preserve"> </w:t>
      </w:r>
      <w:r w:rsidRPr="003A28C4">
        <w:rPr>
          <w:rFonts w:eastAsia="Calibri"/>
          <w:lang w:eastAsia="zh-CN"/>
        </w:rPr>
        <w:t>Для предприятий, зарегистрированных в Республике Крым и/или городе федерального значения Севастополь, указанный перерасчет вознаграждения за гарантию будет производиться при сумме гарантии более 5 млн рублей.</w:t>
      </w:r>
    </w:p>
  </w:footnote>
  <w:footnote w:id="2">
    <w:p w:rsidR="00385F2E" w:rsidRDefault="00385F2E" w:rsidP="00385F2E">
      <w:pPr>
        <w:pStyle w:val="a4"/>
        <w:jc w:val="both"/>
      </w:pPr>
      <w:r w:rsidRPr="00F67AA3">
        <w:rPr>
          <w:rStyle w:val="a6"/>
        </w:rPr>
        <w:footnoteRef/>
      </w:r>
      <w:r w:rsidRPr="00F67AA3">
        <w:t xml:space="preserve"> Технология рассмотрения и требования по заявке аналогичны продукту «Прямая гарантия для обеспечения выданных кредитов»</w:t>
      </w:r>
    </w:p>
  </w:footnote>
  <w:footnote w:id="3">
    <w:p w:rsidR="00385F2E" w:rsidRDefault="00385F2E" w:rsidP="00385F2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003F1">
        <w:t>Технология рассмотрения и требования по заявке аналогичны продукту «Прямая гарантия для обеспечения гарантии исполнения контракта»</w:t>
      </w:r>
    </w:p>
  </w:footnote>
  <w:footnote w:id="4">
    <w:p w:rsidR="00385F2E" w:rsidRDefault="00385F2E" w:rsidP="00385F2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003F1">
        <w:t>Технология рассмотрения и требования по заявке аналогичны продукту «Прямая гарантия для обеспечения кредитов на исполнение контрактов</w:t>
      </w:r>
      <w:r>
        <w:t>»</w:t>
      </w:r>
    </w:p>
  </w:footnote>
  <w:footnote w:id="5">
    <w:p w:rsidR="00385F2E" w:rsidRPr="003003F1" w:rsidRDefault="00385F2E" w:rsidP="00385F2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003F1">
        <w:t>Технология рассмотрения и требования по заявке аналогичны продукту «Прямая гарантия для обеспечения реструктурируемых/рефинансируемых кредитов»</w:t>
      </w:r>
    </w:p>
    <w:p w:rsidR="00385F2E" w:rsidRDefault="00385F2E" w:rsidP="00385F2E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6002"/>
    <w:multiLevelType w:val="hybridMultilevel"/>
    <w:tmpl w:val="CB26FF84"/>
    <w:lvl w:ilvl="0" w:tplc="F3464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047CB"/>
    <w:multiLevelType w:val="hybridMultilevel"/>
    <w:tmpl w:val="EAEC246C"/>
    <w:lvl w:ilvl="0" w:tplc="F3464B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2E"/>
    <w:rsid w:val="00385F2E"/>
    <w:rsid w:val="00515DA7"/>
    <w:rsid w:val="005166A0"/>
    <w:rsid w:val="00B30A5B"/>
    <w:rsid w:val="00C801B1"/>
    <w:rsid w:val="00F0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2962A-2F24-4E8C-8E96-ECDD6DFA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2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2E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385F2E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385F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5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РК Союз Промышленников</cp:lastModifiedBy>
  <cp:revision>2</cp:revision>
  <dcterms:created xsi:type="dcterms:W3CDTF">2017-11-28T12:27:00Z</dcterms:created>
  <dcterms:modified xsi:type="dcterms:W3CDTF">2017-11-28T12:27:00Z</dcterms:modified>
</cp:coreProperties>
</file>