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AD" w:rsidRPr="005B6FB5" w:rsidRDefault="00EA29AD" w:rsidP="00EA29AD">
      <w:pPr>
        <w:spacing w:after="200" w:line="276" w:lineRule="auto"/>
        <w:jc w:val="center"/>
        <w:rPr>
          <w:rFonts w:eastAsiaTheme="minorHAnsi"/>
          <w:b/>
          <w:sz w:val="25"/>
          <w:szCs w:val="25"/>
          <w:lang w:eastAsia="en-US"/>
        </w:rPr>
      </w:pPr>
      <w:bookmarkStart w:id="0" w:name="_GoBack"/>
      <w:bookmarkEnd w:id="0"/>
      <w:r w:rsidRPr="005B6FB5">
        <w:rPr>
          <w:rFonts w:eastAsiaTheme="minorHAnsi"/>
          <w:b/>
          <w:sz w:val="25"/>
          <w:szCs w:val="25"/>
          <w:lang w:eastAsia="en-US"/>
        </w:rPr>
        <w:t xml:space="preserve">Аналитическая записка </w:t>
      </w:r>
    </w:p>
    <w:p w:rsidR="00191DC9" w:rsidRDefault="00EA29AD" w:rsidP="00EA29AD">
      <w:pPr>
        <w:spacing w:after="200" w:line="276" w:lineRule="auto"/>
        <w:jc w:val="center"/>
        <w:rPr>
          <w:rFonts w:eastAsiaTheme="minorHAnsi"/>
          <w:b/>
          <w:sz w:val="25"/>
          <w:szCs w:val="25"/>
          <w:lang w:eastAsia="en-US"/>
        </w:rPr>
      </w:pPr>
      <w:r w:rsidRPr="005B6FB5">
        <w:rPr>
          <w:rFonts w:eastAsiaTheme="minorHAnsi"/>
          <w:b/>
          <w:sz w:val="25"/>
          <w:szCs w:val="25"/>
          <w:lang w:eastAsia="en-US"/>
        </w:rPr>
        <w:t xml:space="preserve">по вопросу обоснованности введения механизма «бери или плати» при расчётах </w:t>
      </w:r>
      <w:r w:rsidR="007C5C5A" w:rsidRPr="005B6FB5">
        <w:rPr>
          <w:rFonts w:eastAsiaTheme="minorHAnsi"/>
          <w:b/>
          <w:sz w:val="25"/>
          <w:szCs w:val="25"/>
          <w:lang w:eastAsia="en-US"/>
        </w:rPr>
        <w:br/>
      </w:r>
      <w:r w:rsidRPr="005B6FB5">
        <w:rPr>
          <w:rFonts w:eastAsiaTheme="minorHAnsi"/>
          <w:b/>
          <w:sz w:val="25"/>
          <w:szCs w:val="25"/>
          <w:lang w:eastAsia="en-US"/>
        </w:rPr>
        <w:t xml:space="preserve">за услуги по передаче электрической энергии путём оплаты </w:t>
      </w:r>
      <w:r w:rsidR="007C5C5A" w:rsidRPr="005B6FB5">
        <w:rPr>
          <w:rFonts w:eastAsiaTheme="minorHAnsi"/>
          <w:b/>
          <w:sz w:val="25"/>
          <w:szCs w:val="25"/>
          <w:lang w:eastAsia="en-US"/>
        </w:rPr>
        <w:br/>
      </w:r>
      <w:r w:rsidRPr="005B6FB5">
        <w:rPr>
          <w:rFonts w:eastAsiaTheme="minorHAnsi"/>
          <w:b/>
          <w:sz w:val="25"/>
          <w:szCs w:val="25"/>
          <w:lang w:eastAsia="en-US"/>
        </w:rPr>
        <w:t>«резервируемой  максимальной сетевой мощности»</w:t>
      </w:r>
    </w:p>
    <w:p w:rsidR="005B6FB5" w:rsidRPr="005B6FB5" w:rsidRDefault="005B6FB5" w:rsidP="00EA29AD">
      <w:pPr>
        <w:spacing w:after="200" w:line="276" w:lineRule="auto"/>
        <w:jc w:val="center"/>
        <w:rPr>
          <w:rFonts w:eastAsiaTheme="minorHAnsi"/>
          <w:b/>
          <w:sz w:val="25"/>
          <w:szCs w:val="25"/>
          <w:lang w:eastAsia="en-US"/>
        </w:rPr>
      </w:pPr>
    </w:p>
    <w:p w:rsidR="00CA097E" w:rsidRPr="005B6FB5" w:rsidRDefault="00CA097E" w:rsidP="00413542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1. Вопрос величины «резерва» сетевой мощности.</w:t>
      </w:r>
    </w:p>
    <w:p w:rsidR="007A4B04" w:rsidRPr="005B6FB5" w:rsidRDefault="000E3B1A" w:rsidP="00C979C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Согласно проекту</w:t>
      </w:r>
      <w:r w:rsidR="006320B7" w:rsidRPr="005B6FB5">
        <w:rPr>
          <w:rFonts w:eastAsia="Calibri"/>
          <w:sz w:val="25"/>
          <w:szCs w:val="26"/>
        </w:rPr>
        <w:t xml:space="preserve"> «резерв» сетевой мощности </w:t>
      </w:r>
      <w:r w:rsidR="0071186F" w:rsidRPr="005B6FB5">
        <w:rPr>
          <w:rFonts w:eastAsia="Calibri"/>
          <w:sz w:val="25"/>
          <w:szCs w:val="26"/>
        </w:rPr>
        <w:t>равен</w:t>
      </w:r>
      <w:r w:rsidR="006320B7" w:rsidRPr="005B6FB5">
        <w:rPr>
          <w:rFonts w:eastAsia="Calibri"/>
          <w:sz w:val="25"/>
          <w:szCs w:val="26"/>
        </w:rPr>
        <w:t xml:space="preserve"> </w:t>
      </w:r>
      <w:r w:rsidR="0071186F" w:rsidRPr="005B6FB5">
        <w:rPr>
          <w:rFonts w:eastAsia="Calibri"/>
          <w:sz w:val="25"/>
          <w:szCs w:val="26"/>
        </w:rPr>
        <w:t>арифметической разности</w:t>
      </w:r>
      <w:r w:rsidR="006320B7" w:rsidRPr="005B6FB5">
        <w:rPr>
          <w:rFonts w:eastAsia="Calibri"/>
          <w:sz w:val="25"/>
          <w:szCs w:val="26"/>
        </w:rPr>
        <w:t xml:space="preserve"> между величиной максимальной мощности по документам о техприсоединении и величиной фактического потребления</w:t>
      </w:r>
      <w:r w:rsidR="0071186F" w:rsidRPr="005B6FB5">
        <w:rPr>
          <w:rFonts w:eastAsia="Calibri"/>
          <w:sz w:val="25"/>
          <w:szCs w:val="26"/>
        </w:rPr>
        <w:t xml:space="preserve"> электроэнергии</w:t>
      </w:r>
      <w:r w:rsidR="006320B7" w:rsidRPr="005B6FB5">
        <w:rPr>
          <w:rFonts w:eastAsia="Calibri"/>
          <w:sz w:val="25"/>
          <w:szCs w:val="26"/>
        </w:rPr>
        <w:t xml:space="preserve">.  </w:t>
      </w:r>
    </w:p>
    <w:p w:rsidR="00913498" w:rsidRPr="005B6FB5" w:rsidRDefault="0071186F" w:rsidP="00C979C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Однако максимальная мощность является договорной цифрой и напрямую влияет только на объем сетевого имущества на последнем участке сети от </w:t>
      </w:r>
      <w:r w:rsidR="000534F1" w:rsidRPr="005B6FB5">
        <w:rPr>
          <w:rFonts w:eastAsia="Calibri"/>
          <w:sz w:val="25"/>
          <w:szCs w:val="26"/>
        </w:rPr>
        <w:t>ближайшей подстанции</w:t>
      </w:r>
      <w:r w:rsidRPr="005B6FB5">
        <w:rPr>
          <w:rFonts w:eastAsia="Calibri"/>
          <w:sz w:val="25"/>
          <w:szCs w:val="26"/>
        </w:rPr>
        <w:t xml:space="preserve"> </w:t>
      </w:r>
      <w:r w:rsidR="000534F1" w:rsidRPr="005B6FB5">
        <w:rPr>
          <w:rFonts w:eastAsia="Calibri"/>
          <w:sz w:val="25"/>
          <w:szCs w:val="26"/>
        </w:rPr>
        <w:t>(</w:t>
      </w:r>
      <w:r w:rsidRPr="005B6FB5">
        <w:rPr>
          <w:rFonts w:eastAsia="Calibri"/>
          <w:sz w:val="25"/>
          <w:szCs w:val="26"/>
        </w:rPr>
        <w:t>центра питания</w:t>
      </w:r>
      <w:r w:rsidR="000534F1" w:rsidRPr="005B6FB5">
        <w:rPr>
          <w:rFonts w:eastAsia="Calibri"/>
          <w:sz w:val="25"/>
          <w:szCs w:val="26"/>
        </w:rPr>
        <w:t>)</w:t>
      </w:r>
      <w:r w:rsidRPr="005B6FB5">
        <w:rPr>
          <w:rFonts w:eastAsia="Calibri"/>
          <w:sz w:val="25"/>
          <w:szCs w:val="26"/>
        </w:rPr>
        <w:t xml:space="preserve"> до данного потребителя</w:t>
      </w:r>
      <w:r w:rsidR="001C22A4" w:rsidRPr="005B6FB5">
        <w:rPr>
          <w:rFonts w:eastAsia="Calibri"/>
          <w:sz w:val="25"/>
          <w:szCs w:val="26"/>
        </w:rPr>
        <w:t xml:space="preserve"> (т.н. </w:t>
      </w:r>
      <w:r w:rsidR="008E781A" w:rsidRPr="005B6FB5">
        <w:rPr>
          <w:rFonts w:eastAsia="Calibri"/>
          <w:sz w:val="25"/>
          <w:szCs w:val="26"/>
        </w:rPr>
        <w:t>«</w:t>
      </w:r>
      <w:r w:rsidR="001C22A4" w:rsidRPr="005B6FB5">
        <w:rPr>
          <w:rFonts w:eastAsia="Calibri"/>
          <w:sz w:val="25"/>
          <w:szCs w:val="26"/>
        </w:rPr>
        <w:t>последняя миля»).</w:t>
      </w:r>
      <w:r w:rsidRPr="005B6FB5">
        <w:rPr>
          <w:rFonts w:eastAsia="Calibri"/>
          <w:sz w:val="25"/>
          <w:szCs w:val="26"/>
        </w:rPr>
        <w:t xml:space="preserve"> </w:t>
      </w:r>
      <w:r w:rsidR="001C22A4" w:rsidRPr="005B6FB5">
        <w:rPr>
          <w:rFonts w:eastAsia="Calibri"/>
          <w:sz w:val="25"/>
          <w:szCs w:val="26"/>
        </w:rPr>
        <w:t xml:space="preserve"> </w:t>
      </w:r>
      <w:r w:rsidR="000534F1" w:rsidRPr="005B6FB5">
        <w:rPr>
          <w:rFonts w:eastAsia="Calibri"/>
          <w:sz w:val="25"/>
          <w:szCs w:val="26"/>
        </w:rPr>
        <w:t>Даже н</w:t>
      </w:r>
      <w:r w:rsidR="001C22A4" w:rsidRPr="005B6FB5">
        <w:rPr>
          <w:rFonts w:eastAsia="Calibri"/>
          <w:sz w:val="25"/>
          <w:szCs w:val="26"/>
        </w:rPr>
        <w:t xml:space="preserve">а </w:t>
      </w:r>
      <w:r w:rsidR="00471E2E" w:rsidRPr="005B6FB5">
        <w:rPr>
          <w:rFonts w:eastAsia="Calibri"/>
          <w:sz w:val="25"/>
          <w:szCs w:val="26"/>
        </w:rPr>
        <w:t>ближайшей</w:t>
      </w:r>
      <w:r w:rsidR="001C22A4" w:rsidRPr="005B6FB5">
        <w:rPr>
          <w:rFonts w:eastAsia="Calibri"/>
          <w:sz w:val="25"/>
          <w:szCs w:val="26"/>
        </w:rPr>
        <w:t xml:space="preserve"> </w:t>
      </w:r>
      <w:r w:rsidR="00471E2E" w:rsidRPr="005B6FB5">
        <w:rPr>
          <w:rFonts w:eastAsia="Calibri"/>
          <w:sz w:val="25"/>
          <w:szCs w:val="26"/>
        </w:rPr>
        <w:t>подстанции</w:t>
      </w:r>
      <w:r w:rsidR="001C22A4" w:rsidRPr="005B6FB5">
        <w:rPr>
          <w:rFonts w:eastAsia="Calibri"/>
          <w:sz w:val="25"/>
          <w:szCs w:val="26"/>
        </w:rPr>
        <w:t xml:space="preserve"> </w:t>
      </w:r>
      <w:r w:rsidR="000534F1" w:rsidRPr="005B6FB5">
        <w:rPr>
          <w:rFonts w:eastAsia="Calibri"/>
          <w:sz w:val="25"/>
          <w:szCs w:val="26"/>
        </w:rPr>
        <w:t xml:space="preserve">максимальная мощность отдельного потребителя учитывается полной цифрой и может </w:t>
      </w:r>
      <w:r w:rsidR="00471E2E" w:rsidRPr="005B6FB5">
        <w:rPr>
          <w:rFonts w:eastAsia="Calibri"/>
          <w:sz w:val="25"/>
          <w:szCs w:val="26"/>
        </w:rPr>
        <w:t>восприниматься как полностью «зарезервированная» за данным потребителем в довольно специфических случаях - для тупиковых участков, когда на концевой подстанции име</w:t>
      </w:r>
      <w:r w:rsidR="008E781A" w:rsidRPr="005B6FB5">
        <w:rPr>
          <w:rFonts w:eastAsia="Calibri"/>
          <w:sz w:val="25"/>
          <w:szCs w:val="26"/>
        </w:rPr>
        <w:t>е</w:t>
      </w:r>
      <w:r w:rsidR="00471E2E" w:rsidRPr="005B6FB5">
        <w:rPr>
          <w:rFonts w:eastAsia="Calibri"/>
          <w:sz w:val="25"/>
          <w:szCs w:val="26"/>
        </w:rPr>
        <w:t>тся один-два потребителя с</w:t>
      </w:r>
      <w:r w:rsidR="002F1AA9" w:rsidRPr="005B6FB5">
        <w:rPr>
          <w:rFonts w:eastAsia="Calibri"/>
          <w:sz w:val="25"/>
          <w:szCs w:val="26"/>
        </w:rPr>
        <w:t xml:space="preserve"> одинаковым</w:t>
      </w:r>
      <w:r w:rsidR="00471E2E" w:rsidRPr="005B6FB5">
        <w:rPr>
          <w:rFonts w:eastAsia="Calibri"/>
          <w:sz w:val="25"/>
          <w:szCs w:val="26"/>
        </w:rPr>
        <w:t xml:space="preserve"> профилем нагрузки, нет субабонентов </w:t>
      </w:r>
      <w:r w:rsidR="002F1AA9" w:rsidRPr="005B6FB5">
        <w:rPr>
          <w:rFonts w:eastAsia="Calibri"/>
          <w:sz w:val="25"/>
          <w:szCs w:val="26"/>
        </w:rPr>
        <w:t>и нет</w:t>
      </w:r>
      <w:r w:rsidR="00471E2E" w:rsidRPr="005B6FB5">
        <w:rPr>
          <w:rFonts w:eastAsia="Calibri"/>
          <w:sz w:val="25"/>
          <w:szCs w:val="26"/>
        </w:rPr>
        <w:t xml:space="preserve"> транзита.  В стандартной ситуации</w:t>
      </w:r>
      <w:r w:rsidR="00C979C7" w:rsidRPr="005B6FB5">
        <w:rPr>
          <w:rFonts w:eastAsia="Calibri"/>
          <w:sz w:val="25"/>
          <w:szCs w:val="26"/>
        </w:rPr>
        <w:t>, вследствие</w:t>
      </w:r>
      <w:r w:rsidR="00CA097E" w:rsidRPr="005B6FB5">
        <w:rPr>
          <w:rFonts w:eastAsia="Calibri"/>
          <w:sz w:val="25"/>
          <w:szCs w:val="26"/>
        </w:rPr>
        <w:t xml:space="preserve"> к</w:t>
      </w:r>
      <w:r w:rsidR="00C979C7" w:rsidRPr="005B6FB5">
        <w:rPr>
          <w:rFonts w:eastAsia="Calibri"/>
          <w:sz w:val="25"/>
          <w:szCs w:val="26"/>
        </w:rPr>
        <w:t>ольцевой топологии сети</w:t>
      </w:r>
      <w:r w:rsidR="00CA097E" w:rsidRPr="005B6FB5">
        <w:rPr>
          <w:rFonts w:eastAsia="Calibri"/>
          <w:sz w:val="25"/>
          <w:szCs w:val="26"/>
        </w:rPr>
        <w:t>, учет</w:t>
      </w:r>
      <w:r w:rsidR="00C979C7" w:rsidRPr="005B6FB5">
        <w:rPr>
          <w:rFonts w:eastAsia="Calibri"/>
          <w:sz w:val="25"/>
          <w:szCs w:val="26"/>
        </w:rPr>
        <w:t>а</w:t>
      </w:r>
      <w:r w:rsidR="00CA097E" w:rsidRPr="005B6FB5">
        <w:rPr>
          <w:rFonts w:eastAsia="Calibri"/>
          <w:sz w:val="25"/>
          <w:szCs w:val="26"/>
        </w:rPr>
        <w:t xml:space="preserve"> неодновременности максимальной нагрузки потребителей</w:t>
      </w:r>
      <w:r w:rsidR="00F5213C" w:rsidRPr="005B6FB5">
        <w:rPr>
          <w:rFonts w:eastAsia="Calibri"/>
          <w:sz w:val="25"/>
          <w:szCs w:val="26"/>
        </w:rPr>
        <w:t xml:space="preserve"> (</w:t>
      </w:r>
      <w:r w:rsidR="0093094B" w:rsidRPr="005B6FB5">
        <w:rPr>
          <w:rFonts w:eastAsia="Calibri"/>
          <w:sz w:val="25"/>
          <w:szCs w:val="26"/>
        </w:rPr>
        <w:t>разного</w:t>
      </w:r>
      <w:r w:rsidR="00F5213C" w:rsidRPr="005B6FB5">
        <w:rPr>
          <w:rFonts w:eastAsia="Calibri"/>
          <w:sz w:val="25"/>
          <w:szCs w:val="26"/>
        </w:rPr>
        <w:t xml:space="preserve"> для разного состава потребителей)</w:t>
      </w:r>
      <w:r w:rsidR="00CA097E" w:rsidRPr="005B6FB5">
        <w:rPr>
          <w:rFonts w:eastAsia="Calibri"/>
          <w:sz w:val="25"/>
          <w:szCs w:val="26"/>
        </w:rPr>
        <w:t>,</w:t>
      </w:r>
      <w:r w:rsidR="00C979C7" w:rsidRPr="005B6FB5">
        <w:rPr>
          <w:rFonts w:eastAsia="Calibri"/>
          <w:sz w:val="25"/>
          <w:szCs w:val="26"/>
        </w:rPr>
        <w:t xml:space="preserve"> методов</w:t>
      </w:r>
      <w:r w:rsidR="00CA097E" w:rsidRPr="005B6FB5">
        <w:rPr>
          <w:rFonts w:eastAsia="Calibri"/>
          <w:sz w:val="25"/>
          <w:szCs w:val="26"/>
        </w:rPr>
        <w:t xml:space="preserve"> схемного </w:t>
      </w:r>
      <w:r w:rsidR="00F5213C" w:rsidRPr="005B6FB5">
        <w:rPr>
          <w:rFonts w:eastAsia="Calibri"/>
          <w:sz w:val="25"/>
          <w:szCs w:val="26"/>
        </w:rPr>
        <w:t>(</w:t>
      </w:r>
      <w:r w:rsidR="00CA097E" w:rsidRPr="005B6FB5">
        <w:rPr>
          <w:rFonts w:eastAsia="Calibri"/>
          <w:sz w:val="25"/>
          <w:szCs w:val="26"/>
        </w:rPr>
        <w:t xml:space="preserve">без наращивания мощностей) обеспечения </w:t>
      </w:r>
      <w:r w:rsidR="00F044F5" w:rsidRPr="005B6FB5">
        <w:rPr>
          <w:rFonts w:eastAsia="Calibri"/>
          <w:sz w:val="25"/>
          <w:szCs w:val="26"/>
        </w:rPr>
        <w:t xml:space="preserve">резервов </w:t>
      </w:r>
      <w:r w:rsidR="0093094B" w:rsidRPr="005B6FB5">
        <w:rPr>
          <w:rFonts w:eastAsia="Calibri"/>
          <w:sz w:val="25"/>
          <w:szCs w:val="26"/>
        </w:rPr>
        <w:t>пропускной способности подстанций</w:t>
      </w:r>
      <w:r w:rsidR="00CA097E" w:rsidRPr="005B6FB5">
        <w:rPr>
          <w:rFonts w:eastAsia="Calibri"/>
          <w:sz w:val="25"/>
          <w:szCs w:val="26"/>
        </w:rPr>
        <w:t xml:space="preserve">, и одновременно </w:t>
      </w:r>
      <w:r w:rsidR="00C6585E" w:rsidRPr="005B6FB5">
        <w:rPr>
          <w:rFonts w:eastAsia="Calibri"/>
          <w:sz w:val="25"/>
          <w:szCs w:val="26"/>
        </w:rPr>
        <w:t>учитывая значительную долю</w:t>
      </w:r>
      <w:r w:rsidR="00CA097E" w:rsidRPr="005B6FB5">
        <w:rPr>
          <w:rFonts w:eastAsia="Calibri"/>
          <w:sz w:val="25"/>
          <w:szCs w:val="26"/>
        </w:rPr>
        <w:t xml:space="preserve"> мощностей, не связанных</w:t>
      </w:r>
      <w:r w:rsidR="00877AFA" w:rsidRPr="005B6FB5">
        <w:rPr>
          <w:rFonts w:eastAsia="Calibri"/>
          <w:sz w:val="25"/>
          <w:szCs w:val="26"/>
        </w:rPr>
        <w:t xml:space="preserve"> напрямую</w:t>
      </w:r>
      <w:r w:rsidR="00CA097E" w:rsidRPr="005B6FB5">
        <w:rPr>
          <w:rFonts w:eastAsia="Calibri"/>
          <w:sz w:val="25"/>
          <w:szCs w:val="26"/>
        </w:rPr>
        <w:t xml:space="preserve"> с подключением конечных потребителей</w:t>
      </w:r>
      <w:r w:rsidR="00F5213C" w:rsidRPr="005B6FB5">
        <w:rPr>
          <w:rFonts w:eastAsia="Calibri"/>
          <w:sz w:val="25"/>
          <w:szCs w:val="26"/>
        </w:rPr>
        <w:t xml:space="preserve"> (системная надежность, </w:t>
      </w:r>
      <w:r w:rsidR="00877AFA" w:rsidRPr="005B6FB5">
        <w:rPr>
          <w:rFonts w:eastAsia="Calibri"/>
          <w:sz w:val="25"/>
          <w:szCs w:val="26"/>
        </w:rPr>
        <w:t>транзитные/</w:t>
      </w:r>
      <w:r w:rsidR="00F5213C" w:rsidRPr="005B6FB5">
        <w:rPr>
          <w:rFonts w:eastAsia="Calibri"/>
          <w:sz w:val="25"/>
          <w:szCs w:val="26"/>
        </w:rPr>
        <w:t>межсистемные перетоки, выдача мощности генерации, перспективное развитие</w:t>
      </w:r>
      <w:r w:rsidR="008E781A" w:rsidRPr="005B6FB5">
        <w:rPr>
          <w:rFonts w:eastAsia="Calibri"/>
          <w:sz w:val="25"/>
          <w:szCs w:val="26"/>
        </w:rPr>
        <w:t xml:space="preserve"> территории</w:t>
      </w:r>
      <w:r w:rsidR="00F5213C" w:rsidRPr="005B6FB5">
        <w:rPr>
          <w:rFonts w:eastAsia="Calibri"/>
          <w:sz w:val="25"/>
          <w:szCs w:val="26"/>
        </w:rPr>
        <w:t>)</w:t>
      </w:r>
      <w:r w:rsidR="00AB0238" w:rsidRPr="005B6FB5">
        <w:rPr>
          <w:rFonts w:eastAsia="Calibri"/>
          <w:sz w:val="25"/>
          <w:szCs w:val="26"/>
        </w:rPr>
        <w:t>,</w:t>
      </w:r>
      <w:r w:rsidR="00CA097E" w:rsidRPr="005B6FB5">
        <w:rPr>
          <w:rFonts w:eastAsia="Calibri"/>
          <w:sz w:val="25"/>
          <w:szCs w:val="26"/>
        </w:rPr>
        <w:t xml:space="preserve"> </w:t>
      </w:r>
      <w:r w:rsidR="00AB0238" w:rsidRPr="005B6FB5">
        <w:rPr>
          <w:rFonts w:eastAsia="Calibri"/>
          <w:sz w:val="25"/>
          <w:szCs w:val="26"/>
        </w:rPr>
        <w:t xml:space="preserve">объем реальных сетевых мощностей и их «резерва» для конкретного потребителя в масштабах центра питания, энергорайона на смежных и вышестоящих центрах питания и тем более в </w:t>
      </w:r>
      <w:r w:rsidR="00AB0238" w:rsidRPr="005B6FB5">
        <w:rPr>
          <w:rFonts w:eastAsia="Calibri"/>
          <w:sz w:val="25"/>
          <w:szCs w:val="26"/>
        </w:rPr>
        <w:lastRenderedPageBreak/>
        <w:t xml:space="preserve">энергосистеме мало связаны с договорной величиной максимальной мощности </w:t>
      </w:r>
      <w:r w:rsidR="000821EE" w:rsidRPr="005B6FB5">
        <w:rPr>
          <w:rFonts w:eastAsia="Calibri"/>
          <w:sz w:val="25"/>
          <w:szCs w:val="26"/>
        </w:rPr>
        <w:t>– эти величины не имеют линейной зависимости и тем более не равны</w:t>
      </w:r>
      <w:r w:rsidR="00AB0238" w:rsidRPr="005B6FB5">
        <w:rPr>
          <w:rFonts w:eastAsia="Calibri"/>
          <w:sz w:val="25"/>
          <w:szCs w:val="26"/>
        </w:rPr>
        <w:t xml:space="preserve">.  </w:t>
      </w:r>
      <w:r w:rsidR="00877AFA" w:rsidRPr="005B6FB5">
        <w:rPr>
          <w:rFonts w:eastAsia="Calibri"/>
          <w:sz w:val="25"/>
          <w:szCs w:val="26"/>
        </w:rPr>
        <w:t>Невоз</w:t>
      </w:r>
      <w:r w:rsidR="0093094B" w:rsidRPr="005B6FB5">
        <w:rPr>
          <w:rFonts w:eastAsia="Calibri"/>
          <w:sz w:val="25"/>
          <w:szCs w:val="26"/>
        </w:rPr>
        <w:t>можно</w:t>
      </w:r>
      <w:r w:rsidR="00877AFA" w:rsidRPr="005B6FB5">
        <w:rPr>
          <w:rFonts w:eastAsia="Calibri"/>
          <w:sz w:val="25"/>
          <w:szCs w:val="26"/>
        </w:rPr>
        <w:t xml:space="preserve"> </w:t>
      </w:r>
      <w:r w:rsidR="00AB0238" w:rsidRPr="005B6FB5">
        <w:rPr>
          <w:rFonts w:eastAsia="Calibri"/>
          <w:sz w:val="25"/>
          <w:szCs w:val="26"/>
        </w:rPr>
        <w:t xml:space="preserve">арифметически посчитать или по единому </w:t>
      </w:r>
      <w:r w:rsidR="00E27DD1" w:rsidRPr="005B6FB5">
        <w:rPr>
          <w:rFonts w:eastAsia="Calibri"/>
          <w:sz w:val="25"/>
          <w:szCs w:val="26"/>
        </w:rPr>
        <w:t xml:space="preserve">универсальному </w:t>
      </w:r>
      <w:r w:rsidR="00AB0238" w:rsidRPr="005B6FB5">
        <w:rPr>
          <w:rFonts w:eastAsia="Calibri"/>
          <w:sz w:val="25"/>
          <w:szCs w:val="26"/>
        </w:rPr>
        <w:t xml:space="preserve">принципу </w:t>
      </w:r>
      <w:r w:rsidR="00877AFA" w:rsidRPr="005B6FB5">
        <w:rPr>
          <w:rFonts w:eastAsia="Calibri"/>
          <w:sz w:val="25"/>
          <w:szCs w:val="26"/>
        </w:rPr>
        <w:t xml:space="preserve">определить величину </w:t>
      </w:r>
      <w:r w:rsidR="0093094B" w:rsidRPr="005B6FB5">
        <w:rPr>
          <w:rFonts w:eastAsia="Calibri"/>
          <w:sz w:val="25"/>
          <w:szCs w:val="26"/>
        </w:rPr>
        <w:t xml:space="preserve">фактического </w:t>
      </w:r>
      <w:r w:rsidR="00877AFA" w:rsidRPr="005B6FB5">
        <w:rPr>
          <w:rFonts w:eastAsia="Calibri"/>
          <w:sz w:val="25"/>
          <w:szCs w:val="26"/>
        </w:rPr>
        <w:t xml:space="preserve">«резерва» для каждого конкретного потребителя </w:t>
      </w:r>
      <w:r w:rsidR="0093094B" w:rsidRPr="005B6FB5">
        <w:rPr>
          <w:rFonts w:eastAsia="Calibri"/>
          <w:sz w:val="25"/>
          <w:szCs w:val="26"/>
        </w:rPr>
        <w:t xml:space="preserve">– это </w:t>
      </w:r>
      <w:r w:rsidR="00F5213C" w:rsidRPr="005B6FB5">
        <w:rPr>
          <w:rFonts w:eastAsia="Calibri"/>
          <w:sz w:val="25"/>
          <w:szCs w:val="26"/>
        </w:rPr>
        <w:t>подтверждают и сетевые организации</w:t>
      </w:r>
      <w:r w:rsidR="0093094B" w:rsidRPr="005B6FB5">
        <w:rPr>
          <w:rFonts w:eastAsia="Calibri"/>
          <w:sz w:val="25"/>
          <w:szCs w:val="26"/>
        </w:rPr>
        <w:t>.</w:t>
      </w:r>
      <w:r w:rsidR="00F044F5" w:rsidRPr="005B6FB5">
        <w:rPr>
          <w:rFonts w:eastAsia="Calibri"/>
          <w:sz w:val="25"/>
          <w:szCs w:val="26"/>
        </w:rPr>
        <w:t xml:space="preserve">  </w:t>
      </w:r>
    </w:p>
    <w:p w:rsidR="0040361A" w:rsidRPr="005B6FB5" w:rsidRDefault="00071CCB" w:rsidP="00C979C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Правила технологического присоединения </w:t>
      </w:r>
      <w:r w:rsidR="005D71C1" w:rsidRPr="005B6FB5">
        <w:rPr>
          <w:rFonts w:eastAsia="Calibri"/>
          <w:sz w:val="25"/>
          <w:szCs w:val="26"/>
        </w:rPr>
        <w:t xml:space="preserve">энергопринимающих устройств потребителей к электрическим сетям (утв. постановлением Правительства РФ от 27.12.2004 № 861) </w:t>
      </w:r>
      <w:r w:rsidR="00201F46" w:rsidRPr="005B6FB5">
        <w:rPr>
          <w:rFonts w:eastAsia="Calibri"/>
          <w:sz w:val="25"/>
          <w:szCs w:val="26"/>
        </w:rPr>
        <w:t xml:space="preserve">установили полномочие сетевой организации самостоятельно определять доступные </w:t>
      </w:r>
      <w:r w:rsidR="00E27DD1" w:rsidRPr="005B6FB5">
        <w:rPr>
          <w:rFonts w:eastAsia="Calibri"/>
          <w:sz w:val="25"/>
          <w:szCs w:val="26"/>
        </w:rPr>
        <w:t xml:space="preserve">для новых подключений </w:t>
      </w:r>
      <w:r w:rsidR="00201F46" w:rsidRPr="005B6FB5">
        <w:rPr>
          <w:rFonts w:eastAsia="Calibri"/>
          <w:sz w:val="25"/>
          <w:szCs w:val="26"/>
        </w:rPr>
        <w:t>сетевые резервы</w:t>
      </w:r>
      <w:r w:rsidR="00E27DD1" w:rsidRPr="005B6FB5">
        <w:rPr>
          <w:rFonts w:eastAsia="Calibri"/>
          <w:sz w:val="25"/>
          <w:szCs w:val="26"/>
        </w:rPr>
        <w:t xml:space="preserve"> и возможность присоединения новых потребителей при формальном отсутствии резерва </w:t>
      </w:r>
      <w:r w:rsidR="00201F46" w:rsidRPr="005B6FB5">
        <w:rPr>
          <w:rFonts w:eastAsia="Calibri"/>
          <w:sz w:val="25"/>
          <w:szCs w:val="26"/>
        </w:rPr>
        <w:t xml:space="preserve">(п.33). </w:t>
      </w:r>
      <w:r w:rsidR="00913498" w:rsidRPr="005B6FB5">
        <w:rPr>
          <w:rFonts w:eastAsia="Calibri"/>
          <w:sz w:val="25"/>
          <w:szCs w:val="26"/>
        </w:rPr>
        <w:t>Для определения резервов сетевых объектов в ОАО</w:t>
      </w:r>
      <w:r w:rsidR="00E27DD1" w:rsidRPr="005B6FB5">
        <w:rPr>
          <w:rFonts w:eastAsia="Calibri"/>
          <w:sz w:val="25"/>
          <w:szCs w:val="26"/>
        </w:rPr>
        <w:t> </w:t>
      </w:r>
      <w:r w:rsidR="00F044F5" w:rsidRPr="005B6FB5">
        <w:rPr>
          <w:rFonts w:eastAsia="Calibri"/>
          <w:sz w:val="25"/>
          <w:szCs w:val="26"/>
        </w:rPr>
        <w:t xml:space="preserve">«Россети» </w:t>
      </w:r>
      <w:r w:rsidR="000821EE" w:rsidRPr="005B6FB5">
        <w:rPr>
          <w:rFonts w:eastAsia="Calibri"/>
          <w:sz w:val="25"/>
          <w:szCs w:val="26"/>
        </w:rPr>
        <w:t xml:space="preserve">утвержден </w:t>
      </w:r>
      <w:r w:rsidR="00C6585E" w:rsidRPr="005B6FB5">
        <w:rPr>
          <w:rFonts w:eastAsia="Calibri"/>
          <w:sz w:val="25"/>
          <w:szCs w:val="26"/>
        </w:rPr>
        <w:t xml:space="preserve">приказ </w:t>
      </w:r>
      <w:r w:rsidR="00913498" w:rsidRPr="005B6FB5">
        <w:rPr>
          <w:rFonts w:eastAsia="Calibri"/>
          <w:sz w:val="25"/>
          <w:szCs w:val="26"/>
        </w:rPr>
        <w:t>от 29.12.2013 № 727</w:t>
      </w:r>
      <w:r w:rsidR="00913498" w:rsidRPr="005B6FB5">
        <w:rPr>
          <w:rStyle w:val="af4"/>
          <w:rFonts w:eastAsia="Calibri"/>
          <w:sz w:val="25"/>
          <w:szCs w:val="26"/>
        </w:rPr>
        <w:footnoteReference w:id="2"/>
      </w:r>
      <w:r w:rsidR="00234189" w:rsidRPr="005B6FB5">
        <w:rPr>
          <w:rFonts w:eastAsia="Calibri"/>
          <w:sz w:val="25"/>
          <w:szCs w:val="26"/>
        </w:rPr>
        <w:t>, который дает представление о</w:t>
      </w:r>
      <w:r w:rsidR="00431DCC" w:rsidRPr="005B6FB5">
        <w:rPr>
          <w:rFonts w:eastAsia="Calibri"/>
          <w:sz w:val="25"/>
          <w:szCs w:val="26"/>
        </w:rPr>
        <w:t xml:space="preserve"> теоретически надлежащем </w:t>
      </w:r>
      <w:r w:rsidR="00234189" w:rsidRPr="005B6FB5">
        <w:rPr>
          <w:rFonts w:eastAsia="Calibri"/>
          <w:sz w:val="25"/>
          <w:szCs w:val="26"/>
        </w:rPr>
        <w:t xml:space="preserve">порядке </w:t>
      </w:r>
      <w:r w:rsidR="00431DCC" w:rsidRPr="005B6FB5">
        <w:rPr>
          <w:rFonts w:eastAsia="Calibri"/>
          <w:sz w:val="25"/>
          <w:szCs w:val="26"/>
        </w:rPr>
        <w:t>учета всех факторов</w:t>
      </w:r>
      <w:r w:rsidRPr="005B6FB5">
        <w:rPr>
          <w:rFonts w:eastAsia="Calibri"/>
          <w:sz w:val="25"/>
          <w:szCs w:val="26"/>
        </w:rPr>
        <w:t>,</w:t>
      </w:r>
      <w:r w:rsidR="00431DCC" w:rsidRPr="005B6FB5">
        <w:rPr>
          <w:rFonts w:eastAsia="Calibri"/>
          <w:sz w:val="25"/>
          <w:szCs w:val="26"/>
        </w:rPr>
        <w:t xml:space="preserve"> </w:t>
      </w:r>
      <w:r w:rsidRPr="005B6FB5">
        <w:rPr>
          <w:rFonts w:eastAsia="Calibri"/>
          <w:sz w:val="25"/>
          <w:szCs w:val="26"/>
        </w:rPr>
        <w:t xml:space="preserve">как на стороне потребителей, так и на стороне сети, </w:t>
      </w:r>
      <w:r w:rsidR="00431DCC" w:rsidRPr="005B6FB5">
        <w:rPr>
          <w:rFonts w:eastAsia="Calibri"/>
          <w:sz w:val="25"/>
          <w:szCs w:val="26"/>
        </w:rPr>
        <w:t xml:space="preserve">для </w:t>
      </w:r>
      <w:r w:rsidRPr="005B6FB5">
        <w:rPr>
          <w:rFonts w:eastAsia="Calibri"/>
          <w:sz w:val="25"/>
          <w:szCs w:val="26"/>
        </w:rPr>
        <w:t xml:space="preserve">создания оптимальной инфраструктуры. </w:t>
      </w:r>
      <w:r w:rsidR="00431DCC" w:rsidRPr="005B6FB5">
        <w:rPr>
          <w:rFonts w:eastAsia="Calibri"/>
          <w:sz w:val="25"/>
          <w:szCs w:val="26"/>
        </w:rPr>
        <w:t xml:space="preserve"> </w:t>
      </w:r>
      <w:r w:rsidR="0040361A" w:rsidRPr="005B6FB5">
        <w:rPr>
          <w:rFonts w:eastAsia="Calibri"/>
          <w:sz w:val="25"/>
          <w:szCs w:val="26"/>
        </w:rPr>
        <w:t>Иллюстрация реального соотношения</w:t>
      </w:r>
      <w:r w:rsidR="00201F46" w:rsidRPr="005B6FB5">
        <w:rPr>
          <w:rFonts w:eastAsia="Calibri"/>
          <w:sz w:val="25"/>
          <w:szCs w:val="26"/>
        </w:rPr>
        <w:t xml:space="preserve"> между арифметической суммой максимальных мощностей</w:t>
      </w:r>
      <w:r w:rsidR="00F5213C" w:rsidRPr="005B6FB5">
        <w:rPr>
          <w:rFonts w:eastAsia="Calibri"/>
          <w:sz w:val="25"/>
          <w:szCs w:val="26"/>
        </w:rPr>
        <w:t xml:space="preserve"> </w:t>
      </w:r>
      <w:r w:rsidR="00201F46" w:rsidRPr="005B6FB5">
        <w:rPr>
          <w:rFonts w:eastAsia="Calibri"/>
          <w:sz w:val="25"/>
          <w:szCs w:val="26"/>
        </w:rPr>
        <w:t>по договорам с потребителями (</w:t>
      </w:r>
      <w:r w:rsidR="00F5213C" w:rsidRPr="005B6FB5">
        <w:rPr>
          <w:rFonts w:eastAsia="Calibri"/>
          <w:sz w:val="25"/>
          <w:szCs w:val="26"/>
        </w:rPr>
        <w:t>и</w:t>
      </w:r>
      <w:r w:rsidR="00201F46" w:rsidRPr="005B6FB5">
        <w:rPr>
          <w:rFonts w:eastAsia="Calibri"/>
          <w:sz w:val="25"/>
          <w:szCs w:val="26"/>
        </w:rPr>
        <w:t>, соответственно,</w:t>
      </w:r>
      <w:r w:rsidR="00F5213C" w:rsidRPr="005B6FB5">
        <w:rPr>
          <w:rFonts w:eastAsia="Calibri"/>
          <w:sz w:val="25"/>
          <w:szCs w:val="26"/>
        </w:rPr>
        <w:t xml:space="preserve"> «резерв</w:t>
      </w:r>
      <w:r w:rsidR="00FB7A29" w:rsidRPr="005B6FB5">
        <w:rPr>
          <w:rFonts w:eastAsia="Calibri"/>
          <w:sz w:val="25"/>
          <w:szCs w:val="26"/>
        </w:rPr>
        <w:t>а</w:t>
      </w:r>
      <w:r w:rsidR="00F5213C" w:rsidRPr="005B6FB5">
        <w:rPr>
          <w:rFonts w:eastAsia="Calibri"/>
          <w:sz w:val="25"/>
          <w:szCs w:val="26"/>
        </w:rPr>
        <w:t>»</w:t>
      </w:r>
      <w:r w:rsidR="00FB7A29" w:rsidRPr="005B6FB5">
        <w:rPr>
          <w:rFonts w:eastAsia="Calibri"/>
          <w:sz w:val="25"/>
          <w:szCs w:val="26"/>
        </w:rPr>
        <w:t xml:space="preserve"> потребителей</w:t>
      </w:r>
      <w:r w:rsidR="00201F46" w:rsidRPr="005B6FB5">
        <w:rPr>
          <w:rFonts w:eastAsia="Calibri"/>
          <w:sz w:val="25"/>
          <w:szCs w:val="26"/>
        </w:rPr>
        <w:t>)</w:t>
      </w:r>
      <w:r w:rsidR="00F5213C" w:rsidRPr="005B6FB5">
        <w:rPr>
          <w:rFonts w:eastAsia="Calibri"/>
          <w:sz w:val="25"/>
          <w:szCs w:val="26"/>
        </w:rPr>
        <w:t xml:space="preserve"> </w:t>
      </w:r>
      <w:r w:rsidR="0040361A" w:rsidRPr="005B6FB5">
        <w:rPr>
          <w:rFonts w:eastAsia="Calibri"/>
          <w:sz w:val="25"/>
          <w:szCs w:val="26"/>
        </w:rPr>
        <w:t>и существующими сетевыми мощностями представлена в Приложении 1.</w:t>
      </w:r>
    </w:p>
    <w:p w:rsidR="00F74BB7" w:rsidRPr="005B6FB5" w:rsidRDefault="00F74BB7" w:rsidP="00F74BB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Считаем необоснованным взимать плату за «бумажную» величину «резерва» максимальной сетевой мощности.</w:t>
      </w:r>
    </w:p>
    <w:p w:rsidR="00521A8C" w:rsidRPr="005B6FB5" w:rsidRDefault="00F74BB7" w:rsidP="00F74BB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Особ</w:t>
      </w:r>
      <w:r w:rsidR="0032170B" w:rsidRPr="005B6FB5">
        <w:rPr>
          <w:rFonts w:eastAsia="Calibri"/>
          <w:sz w:val="25"/>
          <w:szCs w:val="26"/>
        </w:rPr>
        <w:t xml:space="preserve">ое место в  концепции </w:t>
      </w:r>
      <w:r w:rsidR="00D97362" w:rsidRPr="005B6FB5">
        <w:rPr>
          <w:rFonts w:eastAsia="Calibri"/>
          <w:sz w:val="25"/>
          <w:szCs w:val="26"/>
        </w:rPr>
        <w:t>проекта</w:t>
      </w:r>
      <w:r w:rsidR="0032170B" w:rsidRPr="005B6FB5">
        <w:rPr>
          <w:rFonts w:eastAsia="Calibri"/>
          <w:sz w:val="25"/>
          <w:szCs w:val="26"/>
        </w:rPr>
        <w:t xml:space="preserve">, основанной на </w:t>
      </w:r>
      <w:r w:rsidR="00D97362" w:rsidRPr="005B6FB5">
        <w:rPr>
          <w:rFonts w:eastAsia="Calibri"/>
          <w:sz w:val="25"/>
          <w:szCs w:val="26"/>
        </w:rPr>
        <w:t xml:space="preserve">крайне упрощенном </w:t>
      </w:r>
      <w:r w:rsidR="00322131" w:rsidRPr="005B6FB5">
        <w:rPr>
          <w:rFonts w:eastAsia="Calibri"/>
          <w:sz w:val="25"/>
          <w:szCs w:val="26"/>
        </w:rPr>
        <w:t xml:space="preserve">представлении схемы </w:t>
      </w:r>
      <w:r w:rsidR="0032170B" w:rsidRPr="005B6FB5">
        <w:rPr>
          <w:rFonts w:eastAsia="Calibri"/>
          <w:sz w:val="25"/>
          <w:szCs w:val="26"/>
        </w:rPr>
        <w:t xml:space="preserve">организации электрических сетей, </w:t>
      </w:r>
      <w:r w:rsidR="00D97362" w:rsidRPr="005B6FB5">
        <w:rPr>
          <w:rFonts w:eastAsia="Calibri"/>
          <w:sz w:val="25"/>
          <w:szCs w:val="26"/>
        </w:rPr>
        <w:t>занимаю</w:t>
      </w:r>
      <w:r w:rsidR="0032170B" w:rsidRPr="005B6FB5">
        <w:rPr>
          <w:rFonts w:eastAsia="Calibri"/>
          <w:sz w:val="25"/>
          <w:szCs w:val="26"/>
        </w:rPr>
        <w:t xml:space="preserve">т </w:t>
      </w:r>
      <w:r w:rsidR="00D97362" w:rsidRPr="005B6FB5">
        <w:rPr>
          <w:rFonts w:eastAsia="Calibri"/>
          <w:sz w:val="25"/>
          <w:szCs w:val="26"/>
        </w:rPr>
        <w:t>оплата «резерва» предприятиями, присоединенными</w:t>
      </w:r>
      <w:r w:rsidR="00521A8C" w:rsidRPr="005B6FB5">
        <w:rPr>
          <w:rFonts w:eastAsia="Calibri"/>
          <w:sz w:val="25"/>
          <w:szCs w:val="26"/>
        </w:rPr>
        <w:t xml:space="preserve"> по 1й или 2й категории надежности энергоснабжения, а также оплата услуг по передаче </w:t>
      </w:r>
      <w:r w:rsidR="008B4EEF" w:rsidRPr="005B6FB5">
        <w:rPr>
          <w:rFonts w:eastAsia="Calibri"/>
          <w:sz w:val="25"/>
          <w:szCs w:val="26"/>
        </w:rPr>
        <w:t xml:space="preserve">промышленными </w:t>
      </w:r>
      <w:r w:rsidR="00521A8C" w:rsidRPr="005B6FB5">
        <w:rPr>
          <w:rFonts w:eastAsia="Calibri"/>
          <w:sz w:val="25"/>
          <w:szCs w:val="26"/>
        </w:rPr>
        <w:t>предприятиями с собственными электростанциями</w:t>
      </w:r>
      <w:r w:rsidR="008B4EEF" w:rsidRPr="005B6FB5">
        <w:rPr>
          <w:rFonts w:eastAsia="Calibri"/>
          <w:sz w:val="25"/>
          <w:szCs w:val="26"/>
        </w:rPr>
        <w:t>.</w:t>
      </w:r>
    </w:p>
    <w:p w:rsidR="00521A8C" w:rsidRPr="005B6FB5" w:rsidRDefault="008B4EEF" w:rsidP="00F74BB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lastRenderedPageBreak/>
        <w:t>Повышенная</w:t>
      </w:r>
      <w:r w:rsidR="00521A8C" w:rsidRPr="005B6FB5">
        <w:rPr>
          <w:rFonts w:eastAsia="Calibri"/>
          <w:sz w:val="25"/>
          <w:szCs w:val="26"/>
        </w:rPr>
        <w:t xml:space="preserve"> </w:t>
      </w:r>
      <w:r w:rsidRPr="005B6FB5">
        <w:rPr>
          <w:rFonts w:eastAsia="Calibri"/>
          <w:sz w:val="25"/>
          <w:szCs w:val="26"/>
        </w:rPr>
        <w:t xml:space="preserve">категория надежности энергоснабжения </w:t>
      </w:r>
      <w:r w:rsidR="00521A8C" w:rsidRPr="005B6FB5">
        <w:rPr>
          <w:rFonts w:eastAsia="Calibri"/>
          <w:sz w:val="25"/>
          <w:szCs w:val="26"/>
        </w:rPr>
        <w:t>предполагает</w:t>
      </w:r>
      <w:r w:rsidR="00D97362" w:rsidRPr="005B6FB5">
        <w:rPr>
          <w:rFonts w:eastAsia="Calibri"/>
          <w:sz w:val="25"/>
          <w:szCs w:val="26"/>
        </w:rPr>
        <w:t xml:space="preserve"> </w:t>
      </w:r>
      <w:r w:rsidR="00521A8C" w:rsidRPr="005B6FB5">
        <w:rPr>
          <w:rFonts w:eastAsia="Calibri"/>
          <w:sz w:val="25"/>
          <w:szCs w:val="26"/>
        </w:rPr>
        <w:t>наличие независимых резервных источников снабжения электрической энергией</w:t>
      </w:r>
      <w:r w:rsidR="000552CD" w:rsidRPr="005B6FB5">
        <w:rPr>
          <w:rFonts w:eastAsia="Calibri"/>
          <w:sz w:val="25"/>
          <w:szCs w:val="26"/>
        </w:rPr>
        <w:t xml:space="preserve">, однако на практике это приводит к удвоению только на последнем участке сети – линий от подстанции до потребителя.  Удвоение мощности </w:t>
      </w:r>
      <w:r w:rsidR="00EC0EE7" w:rsidRPr="005B6FB5">
        <w:rPr>
          <w:rFonts w:eastAsia="Calibri"/>
          <w:sz w:val="25"/>
          <w:szCs w:val="26"/>
        </w:rPr>
        <w:t xml:space="preserve">вышестоящих центров питания </w:t>
      </w:r>
      <w:r w:rsidR="000552CD" w:rsidRPr="005B6FB5">
        <w:rPr>
          <w:rFonts w:eastAsia="Calibri"/>
          <w:sz w:val="25"/>
          <w:szCs w:val="26"/>
        </w:rPr>
        <w:t>отсутствует.  Однако с</w:t>
      </w:r>
      <w:r w:rsidRPr="005B6FB5">
        <w:rPr>
          <w:rFonts w:eastAsia="Calibri"/>
          <w:sz w:val="25"/>
          <w:szCs w:val="26"/>
        </w:rPr>
        <w:t xml:space="preserve">огласно </w:t>
      </w:r>
      <w:r w:rsidR="000552CD" w:rsidRPr="005B6FB5">
        <w:rPr>
          <w:rFonts w:eastAsia="Calibri"/>
          <w:sz w:val="25"/>
          <w:szCs w:val="26"/>
        </w:rPr>
        <w:t>проекту</w:t>
      </w:r>
      <w:r w:rsidRPr="005B6FB5">
        <w:rPr>
          <w:rFonts w:eastAsia="Calibri"/>
          <w:sz w:val="25"/>
          <w:szCs w:val="26"/>
        </w:rPr>
        <w:t xml:space="preserve">, </w:t>
      </w:r>
      <w:r w:rsidR="000552CD" w:rsidRPr="005B6FB5">
        <w:rPr>
          <w:rFonts w:eastAsia="Calibri"/>
          <w:sz w:val="25"/>
          <w:szCs w:val="26"/>
        </w:rPr>
        <w:t>с потребителей с повышенной категорией надежности</w:t>
      </w:r>
      <w:r w:rsidRPr="005B6FB5">
        <w:rPr>
          <w:rFonts w:eastAsia="Calibri"/>
          <w:sz w:val="25"/>
          <w:szCs w:val="26"/>
        </w:rPr>
        <w:t xml:space="preserve"> </w:t>
      </w:r>
      <w:r w:rsidR="00EC0EE7" w:rsidRPr="005B6FB5">
        <w:rPr>
          <w:rFonts w:eastAsia="Calibri"/>
          <w:sz w:val="25"/>
          <w:szCs w:val="26"/>
        </w:rPr>
        <w:t xml:space="preserve">автоматически </w:t>
      </w:r>
      <w:r w:rsidR="000552CD" w:rsidRPr="005B6FB5">
        <w:rPr>
          <w:rFonts w:eastAsia="Calibri"/>
          <w:sz w:val="25"/>
          <w:szCs w:val="26"/>
        </w:rPr>
        <w:t>взимается удв</w:t>
      </w:r>
      <w:r w:rsidR="00895A58" w:rsidRPr="005B6FB5">
        <w:rPr>
          <w:rFonts w:eastAsia="Calibri"/>
          <w:sz w:val="25"/>
          <w:szCs w:val="26"/>
        </w:rPr>
        <w:t>оенная плата</w:t>
      </w:r>
      <w:r w:rsidR="000552CD" w:rsidRPr="005B6FB5">
        <w:rPr>
          <w:rFonts w:eastAsia="Calibri"/>
          <w:sz w:val="25"/>
          <w:szCs w:val="26"/>
        </w:rPr>
        <w:t xml:space="preserve"> за «резерв», что представляется </w:t>
      </w:r>
      <w:r w:rsidR="00895A58" w:rsidRPr="005B6FB5">
        <w:rPr>
          <w:rFonts w:eastAsia="Calibri"/>
          <w:sz w:val="25"/>
          <w:szCs w:val="26"/>
        </w:rPr>
        <w:t>крайне необоснованным и расходящимся с реальностью.</w:t>
      </w:r>
      <w:r w:rsidR="002D23D8" w:rsidRPr="005B6FB5">
        <w:rPr>
          <w:rFonts w:eastAsia="Calibri"/>
          <w:sz w:val="25"/>
          <w:szCs w:val="26"/>
        </w:rPr>
        <w:t xml:space="preserve">  </w:t>
      </w:r>
    </w:p>
    <w:p w:rsidR="00F74BB7" w:rsidRPr="005B6FB5" w:rsidRDefault="00895A58" w:rsidP="00F74BB7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В отношении промышленных предприятий с собственными электростанциями, помимо двойной оплаты «резерв</w:t>
      </w:r>
      <w:r w:rsidR="002D23D8" w:rsidRPr="005B6FB5">
        <w:rPr>
          <w:rFonts w:eastAsia="Calibri"/>
          <w:sz w:val="25"/>
          <w:szCs w:val="26"/>
        </w:rPr>
        <w:t>а</w:t>
      </w:r>
      <w:r w:rsidRPr="005B6FB5">
        <w:rPr>
          <w:rFonts w:eastAsia="Calibri"/>
          <w:sz w:val="25"/>
          <w:szCs w:val="26"/>
        </w:rPr>
        <w:t xml:space="preserve">» из-за повышенной </w:t>
      </w:r>
      <w:r w:rsidR="00F74BB7" w:rsidRPr="005B6FB5">
        <w:rPr>
          <w:rFonts w:eastAsia="Calibri"/>
          <w:sz w:val="25"/>
          <w:szCs w:val="26"/>
        </w:rPr>
        <w:t>категории надеж</w:t>
      </w:r>
      <w:r w:rsidR="00D97362" w:rsidRPr="005B6FB5">
        <w:rPr>
          <w:rFonts w:eastAsia="Calibri"/>
          <w:sz w:val="25"/>
          <w:szCs w:val="26"/>
        </w:rPr>
        <w:t>ности</w:t>
      </w:r>
      <w:r w:rsidRPr="005B6FB5">
        <w:rPr>
          <w:rFonts w:eastAsia="Calibri"/>
          <w:sz w:val="25"/>
          <w:szCs w:val="26"/>
        </w:rPr>
        <w:t xml:space="preserve">, </w:t>
      </w:r>
      <w:r w:rsidR="0087398B" w:rsidRPr="005B6FB5">
        <w:rPr>
          <w:rFonts w:eastAsia="Calibri"/>
          <w:sz w:val="25"/>
          <w:szCs w:val="26"/>
        </w:rPr>
        <w:t>изменяет</w:t>
      </w:r>
      <w:r w:rsidR="00EC0EE7" w:rsidRPr="005B6FB5">
        <w:rPr>
          <w:rFonts w:eastAsia="Calibri"/>
          <w:sz w:val="25"/>
          <w:szCs w:val="26"/>
        </w:rPr>
        <w:t>ся</w:t>
      </w:r>
      <w:r w:rsidRPr="005B6FB5">
        <w:rPr>
          <w:rFonts w:eastAsia="Calibri"/>
          <w:sz w:val="25"/>
          <w:szCs w:val="26"/>
        </w:rPr>
        <w:t xml:space="preserve"> </w:t>
      </w:r>
      <w:r w:rsidR="0087398B" w:rsidRPr="005B6FB5">
        <w:rPr>
          <w:rFonts w:eastAsia="Calibri"/>
          <w:sz w:val="25"/>
          <w:szCs w:val="26"/>
        </w:rPr>
        <w:t xml:space="preserve">порядок </w:t>
      </w:r>
      <w:r w:rsidRPr="005B6FB5">
        <w:rPr>
          <w:rFonts w:eastAsia="Calibri"/>
          <w:sz w:val="25"/>
          <w:szCs w:val="26"/>
        </w:rPr>
        <w:t>определения основного объема услуг по передаче</w:t>
      </w:r>
      <w:r w:rsidR="00EC0EE7" w:rsidRPr="005B6FB5">
        <w:rPr>
          <w:rFonts w:eastAsia="Calibri"/>
          <w:sz w:val="25"/>
          <w:szCs w:val="26"/>
        </w:rPr>
        <w:t xml:space="preserve"> электроэнергии</w:t>
      </w:r>
      <w:r w:rsidR="002D23D8" w:rsidRPr="005B6FB5">
        <w:rPr>
          <w:rFonts w:eastAsia="Calibri"/>
          <w:sz w:val="25"/>
          <w:szCs w:val="26"/>
        </w:rPr>
        <w:t>.  В результате</w:t>
      </w:r>
      <w:r w:rsidR="00EC0EE7" w:rsidRPr="005B6FB5">
        <w:rPr>
          <w:rFonts w:eastAsia="Calibri"/>
          <w:sz w:val="25"/>
          <w:szCs w:val="26"/>
        </w:rPr>
        <w:t>,</w:t>
      </w:r>
      <w:r w:rsidR="002D23D8" w:rsidRPr="005B6FB5">
        <w:rPr>
          <w:rFonts w:eastAsia="Calibri"/>
          <w:sz w:val="25"/>
          <w:szCs w:val="26"/>
        </w:rPr>
        <w:t xml:space="preserve"> </w:t>
      </w:r>
      <w:r w:rsidR="0087398B" w:rsidRPr="005B6FB5">
        <w:rPr>
          <w:rFonts w:eastAsia="Calibri"/>
          <w:sz w:val="25"/>
          <w:szCs w:val="26"/>
        </w:rPr>
        <w:t xml:space="preserve">к фактическому потреблению услуг по передаче </w:t>
      </w:r>
      <w:r w:rsidR="00FC5828" w:rsidRPr="005B6FB5">
        <w:rPr>
          <w:rFonts w:eastAsia="Calibri"/>
          <w:sz w:val="25"/>
          <w:szCs w:val="26"/>
        </w:rPr>
        <w:t xml:space="preserve">из внешней сети </w:t>
      </w:r>
      <w:r w:rsidR="0087398B" w:rsidRPr="005B6FB5">
        <w:rPr>
          <w:rFonts w:eastAsia="Calibri"/>
          <w:sz w:val="25"/>
          <w:szCs w:val="26"/>
        </w:rPr>
        <w:t>причисляется доля</w:t>
      </w:r>
      <w:r w:rsidR="002D23D8" w:rsidRPr="005B6FB5">
        <w:rPr>
          <w:rFonts w:eastAsia="Calibri"/>
          <w:sz w:val="25"/>
          <w:szCs w:val="26"/>
        </w:rPr>
        <w:t xml:space="preserve"> </w:t>
      </w:r>
      <w:r w:rsidR="00FC5828" w:rsidRPr="005B6FB5">
        <w:rPr>
          <w:rFonts w:eastAsia="Calibri"/>
          <w:sz w:val="25"/>
          <w:szCs w:val="26"/>
        </w:rPr>
        <w:t xml:space="preserve">собственного потребления электроэнергии, выработанной электростанцией предприятия и не покидающей его территорию </w:t>
      </w:r>
      <w:r w:rsidR="002D23D8" w:rsidRPr="005B6FB5">
        <w:rPr>
          <w:rFonts w:eastAsia="Calibri"/>
          <w:sz w:val="25"/>
          <w:szCs w:val="26"/>
        </w:rPr>
        <w:t>(10 или 20 % в зависимости от необходимости электростанции для работы основного производства).</w:t>
      </w:r>
      <w:r w:rsidR="0087398B" w:rsidRPr="005B6FB5">
        <w:rPr>
          <w:rFonts w:eastAsia="Calibri"/>
          <w:sz w:val="25"/>
          <w:szCs w:val="26"/>
        </w:rPr>
        <w:t xml:space="preserve">  Если же электростанция вписана в общую максимальную мощность предприятия, то к фактическому потреблению </w:t>
      </w:r>
      <w:r w:rsidR="00FC5828" w:rsidRPr="005B6FB5">
        <w:rPr>
          <w:rFonts w:eastAsia="Calibri"/>
          <w:sz w:val="25"/>
          <w:szCs w:val="26"/>
        </w:rPr>
        <w:t xml:space="preserve">добавляется </w:t>
      </w:r>
      <w:r w:rsidR="0087398B" w:rsidRPr="005B6FB5">
        <w:rPr>
          <w:rFonts w:eastAsia="Calibri"/>
          <w:sz w:val="25"/>
          <w:szCs w:val="26"/>
        </w:rPr>
        <w:t xml:space="preserve"> аналогичная доля </w:t>
      </w:r>
      <w:r w:rsidR="00FC5828" w:rsidRPr="005B6FB5">
        <w:rPr>
          <w:rFonts w:eastAsia="Calibri"/>
          <w:sz w:val="25"/>
          <w:szCs w:val="26"/>
        </w:rPr>
        <w:t xml:space="preserve">(10 или 20%) </w:t>
      </w:r>
      <w:r w:rsidR="0087398B" w:rsidRPr="005B6FB5">
        <w:rPr>
          <w:rFonts w:eastAsia="Calibri"/>
          <w:sz w:val="25"/>
          <w:szCs w:val="26"/>
        </w:rPr>
        <w:t xml:space="preserve">арифметического «резерва» сетевой мощности.  Этот объем </w:t>
      </w:r>
      <w:r w:rsidR="00D9519C" w:rsidRPr="005B6FB5">
        <w:rPr>
          <w:rFonts w:eastAsia="Calibri"/>
          <w:sz w:val="25"/>
          <w:szCs w:val="26"/>
        </w:rPr>
        <w:t xml:space="preserve">в реальности не </w:t>
      </w:r>
      <w:r w:rsidR="0087398B" w:rsidRPr="005B6FB5">
        <w:rPr>
          <w:rFonts w:eastAsia="Calibri"/>
          <w:sz w:val="25"/>
          <w:szCs w:val="26"/>
        </w:rPr>
        <w:t>оказанных услуг потребитель обязан оплатить по полному тарифу</w:t>
      </w:r>
      <w:r w:rsidR="00D9519C" w:rsidRPr="005B6FB5">
        <w:rPr>
          <w:rFonts w:eastAsia="Calibri"/>
          <w:sz w:val="25"/>
          <w:szCs w:val="26"/>
        </w:rPr>
        <w:t xml:space="preserve"> на передачу</w:t>
      </w:r>
      <w:r w:rsidR="00FC5828" w:rsidRPr="005B6FB5">
        <w:rPr>
          <w:rFonts w:eastAsia="Calibri"/>
          <w:sz w:val="25"/>
          <w:szCs w:val="26"/>
        </w:rPr>
        <w:t xml:space="preserve"> электроэнергии</w:t>
      </w:r>
      <w:r w:rsidR="00D9519C" w:rsidRPr="005B6FB5">
        <w:rPr>
          <w:rFonts w:eastAsia="Calibri"/>
          <w:sz w:val="25"/>
          <w:szCs w:val="26"/>
        </w:rPr>
        <w:t xml:space="preserve">, помимо оплаты «резерва» в общем порядке.  </w:t>
      </w:r>
      <w:r w:rsidR="0070760B" w:rsidRPr="005B6FB5">
        <w:rPr>
          <w:rFonts w:eastAsia="Calibri"/>
          <w:sz w:val="25"/>
          <w:szCs w:val="26"/>
        </w:rPr>
        <w:t>Адекватное о</w:t>
      </w:r>
      <w:r w:rsidR="00D9519C" w:rsidRPr="005B6FB5">
        <w:rPr>
          <w:rFonts w:eastAsia="Calibri"/>
          <w:sz w:val="25"/>
          <w:szCs w:val="26"/>
        </w:rPr>
        <w:t xml:space="preserve">бъяснение такого кратного штрафования предприятий за наличие собственных электростанций </w:t>
      </w:r>
      <w:r w:rsidR="00C63C86" w:rsidRPr="005B6FB5">
        <w:rPr>
          <w:rFonts w:eastAsia="Calibri"/>
          <w:sz w:val="25"/>
          <w:szCs w:val="26"/>
        </w:rPr>
        <w:t>и их принципиальное отличие от</w:t>
      </w:r>
      <w:r w:rsidR="00D9519C" w:rsidRPr="005B6FB5">
        <w:rPr>
          <w:rFonts w:eastAsia="Calibri"/>
          <w:sz w:val="25"/>
          <w:szCs w:val="26"/>
        </w:rPr>
        <w:t xml:space="preserve"> </w:t>
      </w:r>
      <w:r w:rsidR="00C63C86" w:rsidRPr="005B6FB5">
        <w:rPr>
          <w:rFonts w:eastAsia="Calibri"/>
          <w:sz w:val="25"/>
          <w:szCs w:val="26"/>
        </w:rPr>
        <w:t>предприятий</w:t>
      </w:r>
      <w:r w:rsidR="00D9519C" w:rsidRPr="005B6FB5">
        <w:rPr>
          <w:rFonts w:eastAsia="Calibri"/>
          <w:sz w:val="25"/>
          <w:szCs w:val="26"/>
        </w:rPr>
        <w:t xml:space="preserve"> с </w:t>
      </w:r>
      <w:r w:rsidR="00C63C86" w:rsidRPr="005B6FB5">
        <w:rPr>
          <w:rFonts w:eastAsia="Calibri"/>
          <w:sz w:val="25"/>
          <w:szCs w:val="26"/>
        </w:rPr>
        <w:t xml:space="preserve">обычным </w:t>
      </w:r>
      <w:r w:rsidR="00D9519C" w:rsidRPr="005B6FB5">
        <w:rPr>
          <w:rFonts w:eastAsia="Calibri"/>
          <w:sz w:val="25"/>
          <w:szCs w:val="26"/>
        </w:rPr>
        <w:t>«резервом»</w:t>
      </w:r>
      <w:r w:rsidR="00C63C86" w:rsidRPr="005B6FB5">
        <w:rPr>
          <w:rFonts w:eastAsia="Calibri"/>
          <w:sz w:val="25"/>
          <w:szCs w:val="26"/>
        </w:rPr>
        <w:t>, не связанным с потреблением от собственной электростанции,</w:t>
      </w:r>
      <w:r w:rsidR="0070760B" w:rsidRPr="005B6FB5">
        <w:rPr>
          <w:rFonts w:eastAsia="Calibri"/>
          <w:sz w:val="25"/>
          <w:szCs w:val="26"/>
        </w:rPr>
        <w:t xml:space="preserve"> отсутствует</w:t>
      </w:r>
      <w:r w:rsidR="00C63C86" w:rsidRPr="005B6FB5">
        <w:rPr>
          <w:rFonts w:eastAsia="Calibri"/>
          <w:sz w:val="25"/>
          <w:szCs w:val="26"/>
        </w:rPr>
        <w:t>.</w:t>
      </w:r>
    </w:p>
    <w:p w:rsidR="00CA097E" w:rsidRPr="005B6FB5" w:rsidRDefault="00CA097E" w:rsidP="00413542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2. Вопрос величины платы за «резерв» сетевой мощности</w:t>
      </w:r>
      <w:r w:rsidR="00B55249" w:rsidRPr="005B6FB5">
        <w:rPr>
          <w:rFonts w:eastAsia="Calibri"/>
          <w:sz w:val="25"/>
          <w:szCs w:val="26"/>
        </w:rPr>
        <w:t>.</w:t>
      </w:r>
    </w:p>
    <w:p w:rsidR="0070760B" w:rsidRPr="005B6FB5" w:rsidRDefault="00C239F4" w:rsidP="005F5310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По действующему законодательству</w:t>
      </w:r>
      <w:r w:rsidR="00530D39" w:rsidRPr="005B6FB5">
        <w:rPr>
          <w:rFonts w:eastAsia="Calibri"/>
          <w:sz w:val="25"/>
          <w:szCs w:val="26"/>
        </w:rPr>
        <w:t xml:space="preserve"> тариф формируется из совокупной необходимой валовой выручки, включающей полные инвестиционные и операционные расходы на все сетевое хозяйство, и совокупной величины мощности, определенной на основании информации о фактических объемах </w:t>
      </w:r>
      <w:r w:rsidR="00530D39" w:rsidRPr="005B6FB5">
        <w:rPr>
          <w:rFonts w:eastAsia="Calibri"/>
          <w:sz w:val="25"/>
          <w:szCs w:val="26"/>
        </w:rPr>
        <w:lastRenderedPageBreak/>
        <w:t xml:space="preserve">услуг в предыдущих расчетных периодах и с учетом будущих потребителей.  </w:t>
      </w:r>
      <w:r w:rsidR="0070760B" w:rsidRPr="005B6FB5">
        <w:rPr>
          <w:rFonts w:eastAsia="Calibri"/>
          <w:sz w:val="25"/>
          <w:szCs w:val="26"/>
        </w:rPr>
        <w:t xml:space="preserve">Оплата «резерва» сетевой мощности, </w:t>
      </w:r>
      <w:r w:rsidR="00E16211" w:rsidRPr="005B6FB5">
        <w:rPr>
          <w:rFonts w:eastAsia="Calibri"/>
          <w:sz w:val="25"/>
          <w:szCs w:val="26"/>
        </w:rPr>
        <w:t xml:space="preserve">призванная возместить сетевой организации </w:t>
      </w:r>
      <w:r w:rsidR="00530D39" w:rsidRPr="005B6FB5">
        <w:rPr>
          <w:rFonts w:eastAsia="Calibri"/>
          <w:sz w:val="25"/>
          <w:szCs w:val="26"/>
        </w:rPr>
        <w:t xml:space="preserve">некие </w:t>
      </w:r>
      <w:r w:rsidR="00E16211" w:rsidRPr="005B6FB5">
        <w:rPr>
          <w:rFonts w:eastAsia="Calibri"/>
          <w:sz w:val="25"/>
          <w:szCs w:val="26"/>
        </w:rPr>
        <w:t>расходы на содержание «зарезервированной» за потребителем инфраструктуры,</w:t>
      </w:r>
      <w:r w:rsidR="0070760B" w:rsidRPr="005B6FB5">
        <w:rPr>
          <w:rFonts w:eastAsia="Calibri"/>
          <w:sz w:val="25"/>
          <w:szCs w:val="26"/>
        </w:rPr>
        <w:t xml:space="preserve"> </w:t>
      </w:r>
      <w:r w:rsidR="00530D39" w:rsidRPr="005B6FB5">
        <w:rPr>
          <w:rFonts w:eastAsia="Calibri"/>
          <w:sz w:val="25"/>
          <w:szCs w:val="26"/>
        </w:rPr>
        <w:t xml:space="preserve">предполагается как дополнение к включенной в расчет тарифа полной необходимой выручке и </w:t>
      </w:r>
      <w:r w:rsidR="00E16211" w:rsidRPr="005B6FB5">
        <w:rPr>
          <w:rFonts w:eastAsia="Calibri"/>
          <w:sz w:val="25"/>
          <w:szCs w:val="26"/>
        </w:rPr>
        <w:t xml:space="preserve">никак не увязывается с </w:t>
      </w:r>
      <w:r w:rsidR="00862BD5" w:rsidRPr="005B6FB5">
        <w:rPr>
          <w:rFonts w:eastAsia="Calibri"/>
          <w:sz w:val="25"/>
          <w:szCs w:val="26"/>
        </w:rPr>
        <w:t xml:space="preserve">фактической </w:t>
      </w:r>
      <w:r w:rsidR="00E16211" w:rsidRPr="005B6FB5">
        <w:rPr>
          <w:rFonts w:eastAsia="Calibri"/>
          <w:sz w:val="25"/>
          <w:szCs w:val="26"/>
        </w:rPr>
        <w:t>окупаемостью соответствующих сетевых объектов.</w:t>
      </w:r>
    </w:p>
    <w:p w:rsidR="00863D1D" w:rsidRPr="005B6FB5" w:rsidRDefault="000D14A9" w:rsidP="005F5310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В силу котлового принципа тарифообразования </w:t>
      </w:r>
      <w:r w:rsidR="00865822" w:rsidRPr="005B6FB5">
        <w:rPr>
          <w:rFonts w:eastAsia="Calibri"/>
          <w:sz w:val="25"/>
          <w:szCs w:val="26"/>
        </w:rPr>
        <w:t xml:space="preserve">и оплаты по единому тарифу (по сети ЕНЭС; по региональному котловому тарифу для данного уровня напряжения) </w:t>
      </w:r>
      <w:r w:rsidRPr="005B6FB5">
        <w:rPr>
          <w:rFonts w:eastAsia="Calibri"/>
          <w:sz w:val="25"/>
          <w:szCs w:val="26"/>
        </w:rPr>
        <w:t xml:space="preserve">оплата не дифференцирована в зависимости от величины расходов на каждого конкретного потребителя </w:t>
      </w:r>
      <w:r w:rsidR="00865822" w:rsidRPr="005B6FB5">
        <w:rPr>
          <w:rFonts w:eastAsia="Calibri"/>
          <w:sz w:val="25"/>
          <w:szCs w:val="26"/>
        </w:rPr>
        <w:t xml:space="preserve">– </w:t>
      </w:r>
      <w:r w:rsidRPr="005B6FB5">
        <w:rPr>
          <w:rFonts w:eastAsia="Calibri"/>
          <w:sz w:val="25"/>
          <w:szCs w:val="26"/>
        </w:rPr>
        <w:t>его</w:t>
      </w:r>
      <w:r w:rsidR="00865822" w:rsidRPr="005B6FB5">
        <w:rPr>
          <w:rFonts w:eastAsia="Calibri"/>
          <w:sz w:val="25"/>
          <w:szCs w:val="26"/>
        </w:rPr>
        <w:t xml:space="preserve"> </w:t>
      </w:r>
      <w:r w:rsidRPr="005B6FB5">
        <w:rPr>
          <w:rFonts w:eastAsia="Calibri"/>
          <w:sz w:val="25"/>
          <w:szCs w:val="26"/>
        </w:rPr>
        <w:t>удаленности от питающей магистрали, протяженности и сложности трассы, стоимости технических ре</w:t>
      </w:r>
      <w:r w:rsidR="00865822" w:rsidRPr="005B6FB5">
        <w:rPr>
          <w:rFonts w:eastAsia="Calibri"/>
          <w:sz w:val="25"/>
          <w:szCs w:val="26"/>
        </w:rPr>
        <w:t>шений и иных характеристик сети.</w:t>
      </w:r>
      <w:r w:rsidRPr="005B6FB5">
        <w:rPr>
          <w:rFonts w:eastAsia="Calibri"/>
          <w:sz w:val="25"/>
          <w:szCs w:val="26"/>
        </w:rPr>
        <w:t xml:space="preserve"> Имеются многочисленные примеры</w:t>
      </w:r>
      <w:r w:rsidR="00865822" w:rsidRPr="005B6FB5">
        <w:rPr>
          <w:rFonts w:eastAsia="Calibri"/>
          <w:sz w:val="25"/>
          <w:szCs w:val="26"/>
        </w:rPr>
        <w:t>, когда текущие п</w:t>
      </w:r>
      <w:r w:rsidR="004779B8" w:rsidRPr="005B6FB5">
        <w:rPr>
          <w:rFonts w:eastAsia="Calibri"/>
          <w:sz w:val="25"/>
          <w:szCs w:val="26"/>
        </w:rPr>
        <w:t xml:space="preserve">латежи потребителя за услуги по передаче электроэнергии по установленным тарифам </w:t>
      </w:r>
      <w:r w:rsidR="00865822" w:rsidRPr="005B6FB5">
        <w:rPr>
          <w:rFonts w:eastAsia="Calibri"/>
          <w:sz w:val="25"/>
          <w:szCs w:val="26"/>
        </w:rPr>
        <w:t>полностью окупают</w:t>
      </w:r>
      <w:r w:rsidR="004779B8" w:rsidRPr="005B6FB5">
        <w:rPr>
          <w:rFonts w:eastAsia="Calibri"/>
          <w:sz w:val="25"/>
          <w:szCs w:val="26"/>
        </w:rPr>
        <w:t xml:space="preserve"> </w:t>
      </w:r>
      <w:r w:rsidR="00865822" w:rsidRPr="005B6FB5">
        <w:rPr>
          <w:rFonts w:eastAsia="Calibri"/>
          <w:sz w:val="25"/>
          <w:szCs w:val="26"/>
        </w:rPr>
        <w:t xml:space="preserve">построенные </w:t>
      </w:r>
      <w:r w:rsidR="004779B8" w:rsidRPr="005B6FB5">
        <w:rPr>
          <w:rFonts w:eastAsia="Calibri"/>
          <w:sz w:val="25"/>
          <w:szCs w:val="26"/>
        </w:rPr>
        <w:t>сетевые объекты</w:t>
      </w:r>
      <w:r w:rsidR="00865822" w:rsidRPr="005B6FB5">
        <w:rPr>
          <w:rFonts w:eastAsia="Calibri"/>
          <w:sz w:val="25"/>
          <w:szCs w:val="26"/>
        </w:rPr>
        <w:t xml:space="preserve"> за </w:t>
      </w:r>
      <w:r w:rsidR="00C239F4" w:rsidRPr="005B6FB5">
        <w:rPr>
          <w:rFonts w:eastAsia="Calibri"/>
          <w:sz w:val="25"/>
          <w:szCs w:val="26"/>
        </w:rPr>
        <w:t xml:space="preserve">два </w:t>
      </w:r>
      <w:r w:rsidR="00865822" w:rsidRPr="005B6FB5">
        <w:rPr>
          <w:rFonts w:eastAsia="Calibri"/>
          <w:sz w:val="25"/>
          <w:szCs w:val="26"/>
        </w:rPr>
        <w:t>год</w:t>
      </w:r>
      <w:r w:rsidR="00C239F4" w:rsidRPr="005B6FB5">
        <w:rPr>
          <w:rFonts w:eastAsia="Calibri"/>
          <w:sz w:val="25"/>
          <w:szCs w:val="26"/>
        </w:rPr>
        <w:t>а и менее</w:t>
      </w:r>
      <w:r w:rsidR="00863D1D" w:rsidRPr="005B6FB5">
        <w:rPr>
          <w:rFonts w:eastAsia="Calibri"/>
          <w:sz w:val="25"/>
          <w:szCs w:val="26"/>
        </w:rPr>
        <w:t>, включая все капитальные затраты и текущую эксплуатацию</w:t>
      </w:r>
      <w:r w:rsidR="00464589" w:rsidRPr="005B6FB5">
        <w:rPr>
          <w:rFonts w:eastAsia="Calibri"/>
          <w:sz w:val="25"/>
          <w:szCs w:val="26"/>
        </w:rPr>
        <w:t>, в результате чего каждые год-два потребитель факти</w:t>
      </w:r>
      <w:r w:rsidR="00B55249" w:rsidRPr="005B6FB5">
        <w:rPr>
          <w:rFonts w:eastAsia="Calibri"/>
          <w:sz w:val="25"/>
          <w:szCs w:val="26"/>
        </w:rPr>
        <w:t>чески оплачивает стоимость полностью нового сетевого хозяйства</w:t>
      </w:r>
      <w:r w:rsidR="00865822" w:rsidRPr="005B6FB5">
        <w:rPr>
          <w:rFonts w:eastAsia="Calibri"/>
          <w:sz w:val="25"/>
          <w:szCs w:val="26"/>
        </w:rPr>
        <w:t>.</w:t>
      </w:r>
      <w:r w:rsidR="00464589" w:rsidRPr="005B6FB5">
        <w:rPr>
          <w:rFonts w:eastAsia="Calibri"/>
          <w:sz w:val="25"/>
          <w:szCs w:val="26"/>
        </w:rPr>
        <w:t xml:space="preserve">  </w:t>
      </w:r>
      <w:r w:rsidR="009559C0" w:rsidRPr="005B6FB5">
        <w:rPr>
          <w:rFonts w:eastAsia="Calibri"/>
          <w:sz w:val="25"/>
          <w:szCs w:val="26"/>
        </w:rPr>
        <w:t xml:space="preserve">Очевидно, что для естественного монополиста полная окупаемость объектов в такие сроки </w:t>
      </w:r>
      <w:r w:rsidR="000F6EF2" w:rsidRPr="005B6FB5">
        <w:rPr>
          <w:rFonts w:eastAsia="Calibri"/>
          <w:sz w:val="25"/>
          <w:szCs w:val="26"/>
        </w:rPr>
        <w:t xml:space="preserve">не оправдана.  </w:t>
      </w:r>
      <w:r w:rsidR="00863D1D" w:rsidRPr="005B6FB5">
        <w:rPr>
          <w:rFonts w:eastAsia="Calibri"/>
          <w:sz w:val="25"/>
          <w:szCs w:val="26"/>
        </w:rPr>
        <w:t xml:space="preserve">В таких условиях оплата </w:t>
      </w:r>
      <w:r w:rsidR="009559C0" w:rsidRPr="005B6FB5">
        <w:rPr>
          <w:rFonts w:eastAsia="Calibri"/>
          <w:sz w:val="25"/>
          <w:szCs w:val="26"/>
        </w:rPr>
        <w:t>«</w:t>
      </w:r>
      <w:r w:rsidR="00863D1D" w:rsidRPr="005B6FB5">
        <w:rPr>
          <w:rFonts w:eastAsia="Calibri"/>
          <w:sz w:val="25"/>
          <w:szCs w:val="26"/>
        </w:rPr>
        <w:t>резерва</w:t>
      </w:r>
      <w:r w:rsidR="009559C0" w:rsidRPr="005B6FB5">
        <w:rPr>
          <w:rFonts w:eastAsia="Calibri"/>
          <w:sz w:val="25"/>
          <w:szCs w:val="26"/>
        </w:rPr>
        <w:t>»</w:t>
      </w:r>
      <w:r w:rsidR="003A3E74" w:rsidRPr="005B6FB5">
        <w:rPr>
          <w:rFonts w:eastAsia="Calibri"/>
          <w:sz w:val="25"/>
          <w:szCs w:val="26"/>
        </w:rPr>
        <w:t xml:space="preserve"> в дополнение к полностью оплачиваемому фактическому перетоку</w:t>
      </w:r>
      <w:r w:rsidR="00863D1D" w:rsidRPr="005B6FB5">
        <w:rPr>
          <w:rFonts w:eastAsia="Calibri"/>
          <w:sz w:val="25"/>
          <w:szCs w:val="26"/>
        </w:rPr>
        <w:t xml:space="preserve"> </w:t>
      </w:r>
      <w:r w:rsidR="003A3E74" w:rsidRPr="005B6FB5">
        <w:rPr>
          <w:rFonts w:eastAsia="Calibri"/>
          <w:sz w:val="25"/>
          <w:szCs w:val="26"/>
        </w:rPr>
        <w:t>станет</w:t>
      </w:r>
      <w:r w:rsidR="00863D1D" w:rsidRPr="005B6FB5">
        <w:rPr>
          <w:rFonts w:eastAsia="Calibri"/>
          <w:sz w:val="25"/>
          <w:szCs w:val="26"/>
        </w:rPr>
        <w:t xml:space="preserve"> </w:t>
      </w:r>
      <w:r w:rsidR="009559C0" w:rsidRPr="005B6FB5">
        <w:rPr>
          <w:rFonts w:eastAsia="Calibri"/>
          <w:sz w:val="25"/>
          <w:szCs w:val="26"/>
        </w:rPr>
        <w:t>необоснованным сверхдоходом сетевой организации</w:t>
      </w:r>
      <w:r w:rsidR="003A3E74" w:rsidRPr="005B6FB5">
        <w:rPr>
          <w:rFonts w:eastAsia="Calibri"/>
          <w:sz w:val="25"/>
          <w:szCs w:val="26"/>
        </w:rPr>
        <w:t xml:space="preserve"> за счет промышленности</w:t>
      </w:r>
      <w:r w:rsidR="009559C0" w:rsidRPr="005B6FB5">
        <w:rPr>
          <w:rFonts w:eastAsia="Calibri"/>
          <w:sz w:val="25"/>
          <w:szCs w:val="26"/>
        </w:rPr>
        <w:t>.</w:t>
      </w:r>
      <w:r w:rsidR="003A3E74" w:rsidRPr="005B6FB5">
        <w:rPr>
          <w:rFonts w:eastAsia="Calibri"/>
          <w:sz w:val="25"/>
          <w:szCs w:val="26"/>
        </w:rPr>
        <w:t xml:space="preserve">  </w:t>
      </w:r>
    </w:p>
    <w:p w:rsidR="005F5310" w:rsidRPr="005B6FB5" w:rsidRDefault="001F4F78" w:rsidP="005F5310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Проект предусматривает оплату «резерва» с коэффициентом к ставке на содержание двухставочного тарифа на услуги по передаче электроэнергии – к 2019 году коэффициент </w:t>
      </w:r>
      <w:r w:rsidR="00C239F4" w:rsidRPr="005B6FB5">
        <w:rPr>
          <w:rFonts w:eastAsia="Calibri"/>
          <w:sz w:val="25"/>
          <w:szCs w:val="26"/>
        </w:rPr>
        <w:t xml:space="preserve">возрастет </w:t>
      </w:r>
      <w:r w:rsidRPr="005B6FB5">
        <w:rPr>
          <w:rFonts w:eastAsia="Calibri"/>
          <w:sz w:val="25"/>
          <w:szCs w:val="26"/>
        </w:rPr>
        <w:t xml:space="preserve">до 20% для обычных потребителей и 40% для потребителей с повышенной категорией надежности электроснабжения.  Эта величина, выбранная разработчиками </w:t>
      </w:r>
      <w:r w:rsidR="005F5310" w:rsidRPr="005B6FB5">
        <w:rPr>
          <w:rFonts w:eastAsia="Calibri"/>
          <w:sz w:val="25"/>
          <w:szCs w:val="26"/>
        </w:rPr>
        <w:t xml:space="preserve">исключительно </w:t>
      </w:r>
      <w:r w:rsidRPr="005B6FB5">
        <w:rPr>
          <w:rFonts w:eastAsia="Calibri"/>
          <w:sz w:val="25"/>
          <w:szCs w:val="26"/>
        </w:rPr>
        <w:t xml:space="preserve">умозрительно, не обеспечивает приведение общих затрат </w:t>
      </w:r>
      <w:r w:rsidR="00AC39CE" w:rsidRPr="005B6FB5">
        <w:rPr>
          <w:rFonts w:eastAsia="Calibri"/>
          <w:sz w:val="25"/>
          <w:szCs w:val="26"/>
        </w:rPr>
        <w:t xml:space="preserve">энергосистемы </w:t>
      </w:r>
      <w:r w:rsidRPr="005B6FB5">
        <w:rPr>
          <w:rFonts w:eastAsia="Calibri"/>
          <w:sz w:val="25"/>
          <w:szCs w:val="26"/>
        </w:rPr>
        <w:t xml:space="preserve">к индивидуальным </w:t>
      </w:r>
      <w:r w:rsidR="00AC39CE" w:rsidRPr="005B6FB5">
        <w:rPr>
          <w:rFonts w:eastAsia="Calibri"/>
          <w:sz w:val="25"/>
          <w:szCs w:val="26"/>
        </w:rPr>
        <w:t xml:space="preserve">затратам, которые сетевая организация несет </w:t>
      </w:r>
      <w:r w:rsidR="005F5310" w:rsidRPr="005B6FB5">
        <w:rPr>
          <w:rFonts w:eastAsia="Calibri"/>
          <w:sz w:val="25"/>
          <w:szCs w:val="26"/>
        </w:rPr>
        <w:t>на содержание</w:t>
      </w:r>
      <w:r w:rsidR="00AC39CE" w:rsidRPr="005B6FB5">
        <w:rPr>
          <w:rFonts w:eastAsia="Calibri"/>
          <w:sz w:val="25"/>
          <w:szCs w:val="26"/>
        </w:rPr>
        <w:t xml:space="preserve"> сети для данного </w:t>
      </w:r>
      <w:r w:rsidRPr="005B6FB5">
        <w:rPr>
          <w:rFonts w:eastAsia="Calibri"/>
          <w:sz w:val="25"/>
          <w:szCs w:val="26"/>
        </w:rPr>
        <w:t>потребителя</w:t>
      </w:r>
      <w:r w:rsidR="000F6EF2" w:rsidRPr="005B6FB5">
        <w:rPr>
          <w:rFonts w:eastAsia="Calibri"/>
          <w:sz w:val="25"/>
          <w:szCs w:val="26"/>
        </w:rPr>
        <w:t xml:space="preserve">.  </w:t>
      </w:r>
      <w:r w:rsidR="005F5310" w:rsidRPr="005B6FB5">
        <w:rPr>
          <w:rFonts w:eastAsia="Calibri"/>
          <w:sz w:val="25"/>
          <w:szCs w:val="26"/>
        </w:rPr>
        <w:t xml:space="preserve"> </w:t>
      </w:r>
      <w:r w:rsidR="00C239F4" w:rsidRPr="005B6FB5">
        <w:rPr>
          <w:rFonts w:eastAsia="Calibri"/>
          <w:sz w:val="25"/>
          <w:szCs w:val="26"/>
        </w:rPr>
        <w:t>В</w:t>
      </w:r>
      <w:r w:rsidR="005A3220" w:rsidRPr="005B6FB5">
        <w:rPr>
          <w:rFonts w:eastAsia="Calibri"/>
          <w:sz w:val="25"/>
          <w:szCs w:val="26"/>
        </w:rPr>
        <w:t>ыделение</w:t>
      </w:r>
      <w:r w:rsidR="00C239F4" w:rsidRPr="005B6FB5">
        <w:rPr>
          <w:rFonts w:eastAsia="Calibri"/>
          <w:sz w:val="25"/>
          <w:szCs w:val="26"/>
        </w:rPr>
        <w:t xml:space="preserve"> </w:t>
      </w:r>
      <w:r w:rsidR="005A3220" w:rsidRPr="005B6FB5">
        <w:rPr>
          <w:rFonts w:eastAsia="Calibri"/>
          <w:sz w:val="25"/>
          <w:szCs w:val="26"/>
        </w:rPr>
        <w:t xml:space="preserve">из необходимой валовой выручки сетевых </w:t>
      </w:r>
      <w:r w:rsidR="005A3220" w:rsidRPr="005B6FB5">
        <w:rPr>
          <w:rFonts w:eastAsia="Calibri"/>
          <w:sz w:val="25"/>
          <w:szCs w:val="26"/>
        </w:rPr>
        <w:lastRenderedPageBreak/>
        <w:t xml:space="preserve">организаций обоснованной доли расходов, используемой конкретно на содержание «резерва» сетевой мощности (объектов сетевого хозяйства) для </w:t>
      </w:r>
      <w:r w:rsidR="005F5310" w:rsidRPr="005B6FB5">
        <w:rPr>
          <w:rFonts w:eastAsia="Calibri"/>
          <w:sz w:val="25"/>
          <w:szCs w:val="26"/>
        </w:rPr>
        <w:t>соответствующих потребителей</w:t>
      </w:r>
      <w:r w:rsidR="00B74ACC" w:rsidRPr="005B6FB5">
        <w:rPr>
          <w:rFonts w:eastAsia="Calibri"/>
          <w:sz w:val="25"/>
          <w:szCs w:val="26"/>
        </w:rPr>
        <w:t xml:space="preserve">, </w:t>
      </w:r>
      <w:r w:rsidR="00C239F4" w:rsidRPr="005B6FB5">
        <w:rPr>
          <w:rFonts w:eastAsia="Calibri"/>
          <w:sz w:val="25"/>
          <w:szCs w:val="26"/>
        </w:rPr>
        <w:t>не предполагается</w:t>
      </w:r>
      <w:r w:rsidR="005F5310" w:rsidRPr="005B6FB5">
        <w:rPr>
          <w:rFonts w:eastAsia="Calibri"/>
          <w:sz w:val="25"/>
          <w:szCs w:val="26"/>
        </w:rPr>
        <w:t>.</w:t>
      </w:r>
    </w:p>
    <w:p w:rsidR="000E3B1A" w:rsidRPr="005B6FB5" w:rsidRDefault="000F6EF2" w:rsidP="00413542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Таким образом, п</w:t>
      </w:r>
      <w:r w:rsidR="000E3B1A" w:rsidRPr="005B6FB5">
        <w:rPr>
          <w:rFonts w:eastAsia="Calibri"/>
          <w:sz w:val="25"/>
          <w:szCs w:val="26"/>
        </w:rPr>
        <w:t>отребители</w:t>
      </w:r>
      <w:r w:rsidR="00141E15" w:rsidRPr="005B6FB5">
        <w:rPr>
          <w:rFonts w:eastAsia="Calibri"/>
          <w:sz w:val="25"/>
          <w:szCs w:val="26"/>
        </w:rPr>
        <w:t xml:space="preserve"> </w:t>
      </w:r>
      <w:r w:rsidR="000E3B1A" w:rsidRPr="005B6FB5">
        <w:rPr>
          <w:rFonts w:eastAsia="Calibri"/>
          <w:sz w:val="25"/>
          <w:szCs w:val="26"/>
        </w:rPr>
        <w:t xml:space="preserve">с «резервом» назначаются лично ответственными за наличие </w:t>
      </w:r>
      <w:r w:rsidR="00141E15" w:rsidRPr="005B6FB5">
        <w:rPr>
          <w:rFonts w:eastAsia="Calibri"/>
          <w:sz w:val="25"/>
          <w:szCs w:val="26"/>
        </w:rPr>
        <w:t xml:space="preserve">в энергосистеме </w:t>
      </w:r>
      <w:r w:rsidR="000E3B1A" w:rsidRPr="005B6FB5">
        <w:rPr>
          <w:rFonts w:eastAsia="Calibri"/>
          <w:sz w:val="25"/>
          <w:szCs w:val="26"/>
        </w:rPr>
        <w:t xml:space="preserve">незагруженных сетей, </w:t>
      </w:r>
      <w:r w:rsidR="00141E15" w:rsidRPr="005B6FB5">
        <w:rPr>
          <w:rFonts w:eastAsia="Calibri"/>
          <w:sz w:val="25"/>
          <w:szCs w:val="26"/>
        </w:rPr>
        <w:t xml:space="preserve">однако </w:t>
      </w:r>
      <w:r w:rsidR="000E3B1A" w:rsidRPr="005B6FB5">
        <w:rPr>
          <w:rFonts w:eastAsia="Calibri"/>
          <w:sz w:val="25"/>
          <w:szCs w:val="26"/>
        </w:rPr>
        <w:t xml:space="preserve">размер «штрафа» </w:t>
      </w:r>
      <w:r w:rsidR="004468AD" w:rsidRPr="005B6FB5">
        <w:rPr>
          <w:rFonts w:eastAsia="Calibri"/>
          <w:sz w:val="25"/>
          <w:szCs w:val="26"/>
        </w:rPr>
        <w:t>рас</w:t>
      </w:r>
      <w:r w:rsidR="000E3B1A" w:rsidRPr="005B6FB5">
        <w:rPr>
          <w:rFonts w:eastAsia="Calibri"/>
          <w:sz w:val="25"/>
          <w:szCs w:val="26"/>
        </w:rPr>
        <w:t>счит</w:t>
      </w:r>
      <w:r w:rsidR="004468AD" w:rsidRPr="005B6FB5">
        <w:rPr>
          <w:rFonts w:eastAsia="Calibri"/>
          <w:sz w:val="25"/>
          <w:szCs w:val="26"/>
        </w:rPr>
        <w:t>ыв</w:t>
      </w:r>
      <w:r w:rsidR="000E3B1A" w:rsidRPr="005B6FB5">
        <w:rPr>
          <w:rFonts w:eastAsia="Calibri"/>
          <w:sz w:val="25"/>
          <w:szCs w:val="26"/>
        </w:rPr>
        <w:t xml:space="preserve">ается не исходя из доказанных расходов, которые несет сетевая </w:t>
      </w:r>
      <w:r w:rsidR="004B3E0F" w:rsidRPr="005B6FB5">
        <w:rPr>
          <w:rFonts w:eastAsia="Calibri"/>
          <w:sz w:val="25"/>
          <w:szCs w:val="26"/>
        </w:rPr>
        <w:t xml:space="preserve">организация </w:t>
      </w:r>
      <w:r w:rsidR="000E3B1A" w:rsidRPr="005B6FB5">
        <w:rPr>
          <w:rFonts w:eastAsia="Calibri"/>
          <w:sz w:val="25"/>
          <w:szCs w:val="26"/>
        </w:rPr>
        <w:t>по содержанию конкретных сетевых объектов для данного потребителя, а по общей</w:t>
      </w:r>
      <w:r w:rsidR="00C57D85" w:rsidRPr="005B6FB5">
        <w:rPr>
          <w:rFonts w:eastAsia="Calibri"/>
          <w:sz w:val="25"/>
          <w:szCs w:val="26"/>
        </w:rPr>
        <w:t xml:space="preserve"> ставке на содержание, в расчет</w:t>
      </w:r>
      <w:r w:rsidR="000E3B1A" w:rsidRPr="005B6FB5">
        <w:rPr>
          <w:rFonts w:eastAsia="Calibri"/>
          <w:sz w:val="25"/>
          <w:szCs w:val="26"/>
        </w:rPr>
        <w:t xml:space="preserve"> которой включены полные расходы на всю существующую инфраструктуру региона </w:t>
      </w:r>
      <w:r w:rsidR="000B65F0" w:rsidRPr="005B6FB5">
        <w:rPr>
          <w:rFonts w:eastAsia="Calibri"/>
          <w:sz w:val="25"/>
          <w:szCs w:val="26"/>
        </w:rPr>
        <w:t>(</w:t>
      </w:r>
      <w:r w:rsidR="000E3B1A" w:rsidRPr="005B6FB5">
        <w:rPr>
          <w:rFonts w:eastAsia="Calibri"/>
          <w:sz w:val="25"/>
          <w:szCs w:val="26"/>
        </w:rPr>
        <w:t xml:space="preserve">федеральную </w:t>
      </w:r>
      <w:r w:rsidR="00141E15" w:rsidRPr="005B6FB5">
        <w:rPr>
          <w:rFonts w:eastAsia="Calibri"/>
          <w:sz w:val="25"/>
          <w:szCs w:val="26"/>
        </w:rPr>
        <w:t>сеть ОАО «ФСК ЕЭС»</w:t>
      </w:r>
      <w:r w:rsidR="000B65F0" w:rsidRPr="005B6FB5">
        <w:rPr>
          <w:rFonts w:eastAsia="Calibri"/>
          <w:sz w:val="25"/>
          <w:szCs w:val="26"/>
        </w:rPr>
        <w:t>)</w:t>
      </w:r>
      <w:r w:rsidR="000E3B1A" w:rsidRPr="005B6FB5">
        <w:rPr>
          <w:rFonts w:eastAsia="Calibri"/>
          <w:sz w:val="25"/>
          <w:szCs w:val="26"/>
        </w:rPr>
        <w:t>, на текущую инвестиционную программу, в т.ч. сети под других потребителей, схемы выдачи мощности незагруженной генерации, заведомо незагруженные объекты под определенные системным оператором режимы и объекты системной надежности, сетевое развитие под перспективную загрузку, инвестиционные просчеты, проектировочные решения сетевых организаций</w:t>
      </w:r>
      <w:r w:rsidR="00AC39CE" w:rsidRPr="005B6FB5">
        <w:rPr>
          <w:rFonts w:eastAsia="Calibri"/>
          <w:sz w:val="25"/>
          <w:szCs w:val="26"/>
        </w:rPr>
        <w:t>.</w:t>
      </w:r>
    </w:p>
    <w:p w:rsidR="00AF60B9" w:rsidRPr="005B6FB5" w:rsidRDefault="00CF32EE" w:rsidP="00CF32EE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Согласно официальной отчетности и инвестиционным программам сетевых организаций ДЗО ОАО «Россети», основной объем вводов новой сетевой мощности и реконструкции существующих сетей (соответственно, образуемого сетевого хозяйства и увеличения стоимости сетевого хозяйства), осуществляется в рамках проектов развития инфраструктуры </w:t>
      </w:r>
      <w:r w:rsidR="0043114F" w:rsidRPr="005B6FB5">
        <w:rPr>
          <w:rFonts w:eastAsia="Calibri"/>
          <w:sz w:val="25"/>
          <w:szCs w:val="26"/>
        </w:rPr>
        <w:t xml:space="preserve">и реновации сетей, т.е. </w:t>
      </w:r>
      <w:r w:rsidRPr="005B6FB5">
        <w:rPr>
          <w:rFonts w:eastAsia="Calibri"/>
          <w:sz w:val="25"/>
          <w:szCs w:val="26"/>
        </w:rPr>
        <w:t>конечный потребитель отс</w:t>
      </w:r>
      <w:r w:rsidR="0043114F" w:rsidRPr="005B6FB5">
        <w:rPr>
          <w:rFonts w:eastAsia="Calibri"/>
          <w:sz w:val="25"/>
          <w:szCs w:val="26"/>
        </w:rPr>
        <w:t xml:space="preserve">утствует или является системным </w:t>
      </w:r>
      <w:r w:rsidRPr="005B6FB5">
        <w:rPr>
          <w:rFonts w:eastAsia="Calibri"/>
          <w:sz w:val="25"/>
          <w:szCs w:val="26"/>
        </w:rPr>
        <w:t>– это 7</w:t>
      </w:r>
      <w:r w:rsidR="0011769E" w:rsidRPr="005B6FB5">
        <w:rPr>
          <w:rFonts w:eastAsia="Calibri"/>
          <w:sz w:val="25"/>
          <w:szCs w:val="26"/>
        </w:rPr>
        <w:t>6</w:t>
      </w:r>
      <w:r w:rsidRPr="005B6FB5">
        <w:rPr>
          <w:rFonts w:eastAsia="Calibri"/>
          <w:sz w:val="25"/>
          <w:szCs w:val="26"/>
        </w:rPr>
        <w:t>% совокупных инвестиций за 2011-2013</w:t>
      </w:r>
      <w:r w:rsidR="00C57D85" w:rsidRPr="005B6FB5">
        <w:rPr>
          <w:rFonts w:eastAsia="Calibri"/>
          <w:sz w:val="25"/>
          <w:szCs w:val="26"/>
        </w:rPr>
        <w:t>гг.</w:t>
      </w:r>
      <w:r w:rsidRPr="005B6FB5">
        <w:rPr>
          <w:rFonts w:eastAsia="Calibri"/>
          <w:sz w:val="25"/>
          <w:szCs w:val="26"/>
        </w:rPr>
        <w:t xml:space="preserve">  В рамках </w:t>
      </w:r>
      <w:r w:rsidR="00C57D85" w:rsidRPr="005B6FB5">
        <w:rPr>
          <w:rFonts w:eastAsia="Calibri"/>
          <w:sz w:val="25"/>
          <w:szCs w:val="26"/>
        </w:rPr>
        <w:t>технологического присоединения</w:t>
      </w:r>
      <w:r w:rsidR="0011769E" w:rsidRPr="005B6FB5">
        <w:rPr>
          <w:rFonts w:eastAsia="Calibri"/>
          <w:sz w:val="25"/>
          <w:szCs w:val="26"/>
        </w:rPr>
        <w:t xml:space="preserve"> (24</w:t>
      </w:r>
      <w:r w:rsidRPr="005B6FB5">
        <w:rPr>
          <w:rFonts w:eastAsia="Calibri"/>
          <w:sz w:val="25"/>
          <w:szCs w:val="26"/>
        </w:rPr>
        <w:t>% сов</w:t>
      </w:r>
      <w:r w:rsidR="00C57D85" w:rsidRPr="005B6FB5">
        <w:rPr>
          <w:rFonts w:eastAsia="Calibri"/>
          <w:sz w:val="25"/>
          <w:szCs w:val="26"/>
        </w:rPr>
        <w:t>окупных инвестиций за 2011-201</w:t>
      </w:r>
      <w:r w:rsidR="0011769E" w:rsidRPr="005B6FB5">
        <w:rPr>
          <w:rFonts w:eastAsia="Calibri"/>
          <w:sz w:val="25"/>
          <w:szCs w:val="26"/>
        </w:rPr>
        <w:t>4</w:t>
      </w:r>
      <w:r w:rsidR="00C57D85" w:rsidRPr="005B6FB5">
        <w:rPr>
          <w:rFonts w:eastAsia="Calibri"/>
          <w:sz w:val="25"/>
          <w:szCs w:val="26"/>
        </w:rPr>
        <w:t>гг.)</w:t>
      </w:r>
      <w:r w:rsidRPr="005B6FB5">
        <w:rPr>
          <w:rFonts w:eastAsia="Calibri"/>
          <w:sz w:val="25"/>
          <w:szCs w:val="26"/>
        </w:rPr>
        <w:t xml:space="preserve"> значительная доля вводов осуществляется в рамках организации схем вы</w:t>
      </w:r>
      <w:r w:rsidR="00862BD5" w:rsidRPr="005B6FB5">
        <w:rPr>
          <w:rFonts w:eastAsia="Calibri"/>
          <w:sz w:val="25"/>
          <w:szCs w:val="26"/>
        </w:rPr>
        <w:t>дачи мощности генерации</w:t>
      </w:r>
      <w:r w:rsidR="00740F3D" w:rsidRPr="005B6FB5">
        <w:rPr>
          <w:rFonts w:eastAsia="Calibri"/>
          <w:sz w:val="25"/>
          <w:szCs w:val="26"/>
        </w:rPr>
        <w:t xml:space="preserve"> (30% по мощности подписанных актов завершенного техприсоединения)</w:t>
      </w:r>
      <w:r w:rsidRPr="005B6FB5">
        <w:rPr>
          <w:rFonts w:eastAsia="Calibri"/>
          <w:sz w:val="25"/>
          <w:szCs w:val="26"/>
        </w:rPr>
        <w:t xml:space="preserve">, а также при присоединении </w:t>
      </w:r>
      <w:r w:rsidR="0011769E" w:rsidRPr="005B6FB5">
        <w:rPr>
          <w:rFonts w:eastAsia="Calibri"/>
          <w:sz w:val="25"/>
          <w:szCs w:val="26"/>
        </w:rPr>
        <w:t xml:space="preserve">некрупных </w:t>
      </w:r>
      <w:r w:rsidRPr="005B6FB5">
        <w:rPr>
          <w:rFonts w:eastAsia="Calibri"/>
          <w:sz w:val="25"/>
          <w:szCs w:val="26"/>
        </w:rPr>
        <w:t>потребителей</w:t>
      </w:r>
      <w:r w:rsidR="0011769E" w:rsidRPr="005B6FB5">
        <w:rPr>
          <w:rFonts w:eastAsia="Calibri"/>
          <w:sz w:val="25"/>
          <w:szCs w:val="26"/>
        </w:rPr>
        <w:t xml:space="preserve"> и </w:t>
      </w:r>
      <w:r w:rsidR="00862BD5" w:rsidRPr="005B6FB5">
        <w:rPr>
          <w:rFonts w:eastAsia="Calibri"/>
          <w:sz w:val="25"/>
          <w:szCs w:val="26"/>
        </w:rPr>
        <w:t>физических лиц</w:t>
      </w:r>
      <w:r w:rsidRPr="005B6FB5">
        <w:rPr>
          <w:rFonts w:eastAsia="Calibri"/>
          <w:sz w:val="25"/>
          <w:szCs w:val="26"/>
        </w:rPr>
        <w:t>.  Существенную долю, очевидно, составляет и объем вводимой сетевой мощности при технологическом присоединении объектов</w:t>
      </w:r>
      <w:r w:rsidR="00740F3D" w:rsidRPr="005B6FB5">
        <w:rPr>
          <w:rFonts w:eastAsia="Calibri"/>
          <w:sz w:val="25"/>
          <w:szCs w:val="26"/>
        </w:rPr>
        <w:t xml:space="preserve"> нижестоящих сетевых организаций</w:t>
      </w:r>
      <w:r w:rsidR="00BB6BCA" w:rsidRPr="005B6FB5">
        <w:rPr>
          <w:rFonts w:eastAsia="Calibri"/>
          <w:sz w:val="25"/>
          <w:szCs w:val="26"/>
        </w:rPr>
        <w:t>.</w:t>
      </w:r>
    </w:p>
    <w:p w:rsidR="00141E15" w:rsidRPr="005B6FB5" w:rsidRDefault="00AF60B9" w:rsidP="00CF32EE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lastRenderedPageBreak/>
        <w:t>П</w:t>
      </w:r>
      <w:r w:rsidR="00CF32EE" w:rsidRPr="005B6FB5">
        <w:rPr>
          <w:rFonts w:eastAsia="Calibri"/>
          <w:sz w:val="25"/>
          <w:szCs w:val="26"/>
        </w:rPr>
        <w:t xml:space="preserve">редлагаемая плата несоразмерна доле расходов, приходящихся даже на сетевое хозяйство, созданное совокупно в целях присоединения всех конечных потребителей, и тем более приходящегося на «резерв» отдельных потребителей.  </w:t>
      </w:r>
    </w:p>
    <w:p w:rsidR="00BB6BCA" w:rsidRPr="005B6FB5" w:rsidRDefault="00BB6BCA" w:rsidP="00CF32EE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При этом</w:t>
      </w:r>
      <w:r w:rsidR="004B3E0F" w:rsidRPr="005B6FB5">
        <w:rPr>
          <w:rFonts w:eastAsia="Calibri"/>
          <w:sz w:val="25"/>
          <w:szCs w:val="26"/>
        </w:rPr>
        <w:t xml:space="preserve"> п</w:t>
      </w:r>
      <w:r w:rsidRPr="005B6FB5">
        <w:rPr>
          <w:rFonts w:eastAsia="Calibri"/>
          <w:sz w:val="25"/>
          <w:szCs w:val="26"/>
        </w:rPr>
        <w:t>отребители полностью оплатили инвестиционные затраты на строительство сети от существующего электросетевого объекта до объекта потребителя (т.н. «последняя миля») в составе платы за техприсоединение, а потребители, заключившие договор техприсоединения до 1 января 2011 года, оплатили и инвестиционную составляющую на развитие существующей сетевой инфраструктуры.</w:t>
      </w:r>
    </w:p>
    <w:p w:rsidR="00CA097E" w:rsidRPr="005B6FB5" w:rsidRDefault="00CA097E" w:rsidP="0099713D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3. Вопрос эффективности оплаты «резерва» сетевой мощности для </w:t>
      </w:r>
      <w:r w:rsidR="00F041CB" w:rsidRPr="005B6FB5">
        <w:rPr>
          <w:rFonts w:eastAsia="Calibri"/>
          <w:sz w:val="25"/>
          <w:szCs w:val="26"/>
        </w:rPr>
        <w:t xml:space="preserve">высвобождения дефицитной мощности и </w:t>
      </w:r>
      <w:r w:rsidRPr="005B6FB5">
        <w:rPr>
          <w:rFonts w:eastAsia="Calibri"/>
          <w:sz w:val="25"/>
          <w:szCs w:val="26"/>
        </w:rPr>
        <w:t>перераспределения мощностей</w:t>
      </w:r>
    </w:p>
    <w:p w:rsidR="00C04A96" w:rsidRPr="005B6FB5" w:rsidRDefault="00464589" w:rsidP="00464589">
      <w:pPr>
        <w:spacing w:line="276" w:lineRule="auto"/>
        <w:ind w:firstLine="708"/>
        <w:jc w:val="both"/>
        <w:rPr>
          <w:sz w:val="25"/>
        </w:rPr>
      </w:pPr>
      <w:r w:rsidRPr="005B6FB5">
        <w:rPr>
          <w:sz w:val="25"/>
        </w:rPr>
        <w:t xml:space="preserve">Сетевая мощность технологически привязана к конкретным центрам питания, и в отсутствие спроса на мощность в соответствующих центрах питания оплата «резерва» выполнит задачу только повышения выручки сетевых организаций, а не стимула перераспределения неиспользуемой мощности в пользу иных потребителей.  Однако и </w:t>
      </w:r>
      <w:r w:rsidR="00450787" w:rsidRPr="005B6FB5">
        <w:rPr>
          <w:sz w:val="25"/>
        </w:rPr>
        <w:t>для случая</w:t>
      </w:r>
      <w:r w:rsidR="00C04A96" w:rsidRPr="005B6FB5">
        <w:rPr>
          <w:sz w:val="25"/>
        </w:rPr>
        <w:t xml:space="preserve"> наличия</w:t>
      </w:r>
      <w:r w:rsidRPr="005B6FB5">
        <w:rPr>
          <w:sz w:val="25"/>
        </w:rPr>
        <w:t xml:space="preserve"> спроса на мощность проект вводит в заблуждение относительно возможности перераспределения</w:t>
      </w:r>
      <w:r w:rsidR="00C04A96" w:rsidRPr="005B6FB5">
        <w:rPr>
          <w:sz w:val="25"/>
        </w:rPr>
        <w:t xml:space="preserve"> «резерва» потребителей</w:t>
      </w:r>
      <w:r w:rsidRPr="005B6FB5">
        <w:rPr>
          <w:sz w:val="25"/>
        </w:rPr>
        <w:t xml:space="preserve">.   </w:t>
      </w:r>
    </w:p>
    <w:p w:rsidR="00E25D5D" w:rsidRPr="005B6FB5" w:rsidRDefault="00E25D5D" w:rsidP="00E25D5D">
      <w:pPr>
        <w:spacing w:line="276" w:lineRule="auto"/>
        <w:ind w:firstLine="708"/>
        <w:jc w:val="both"/>
        <w:rPr>
          <w:sz w:val="25"/>
        </w:rPr>
      </w:pPr>
      <w:r w:rsidRPr="005B6FB5">
        <w:rPr>
          <w:sz w:val="25"/>
        </w:rPr>
        <w:t xml:space="preserve">Исходя из упомянутого выше приказа ОАО «Россети» № 727, статус «открытого» (свободно доступного для нового присоединения), «под ограничением» или «закрытого» (условно недоступного для нового присоединения) присваивается центру питания на основании замеров </w:t>
      </w:r>
      <w:r w:rsidR="00295A1A" w:rsidRPr="005B6FB5">
        <w:rPr>
          <w:sz w:val="25"/>
        </w:rPr>
        <w:t xml:space="preserve">фактической </w:t>
      </w:r>
      <w:r w:rsidRPr="005B6FB5">
        <w:rPr>
          <w:sz w:val="25"/>
        </w:rPr>
        <w:t xml:space="preserve">нагрузки, с учетом статистики потребления в предшествующие годы и резервирования под договоры на техприсоединение. </w:t>
      </w:r>
      <w:r w:rsidR="00295A1A" w:rsidRPr="005B6FB5">
        <w:rPr>
          <w:sz w:val="25"/>
        </w:rPr>
        <w:t xml:space="preserve"> </w:t>
      </w:r>
      <w:r w:rsidRPr="005B6FB5">
        <w:rPr>
          <w:sz w:val="25"/>
        </w:rPr>
        <w:t xml:space="preserve">В соответствии с реальными паспортами центров питания, размещенными на официальных сайтах сетевых организаций, «закрытые» центры питания являются таковыми в силу высокой фактической загрузки, выделенной мощности под межсистемные перетоки, выделенной мощности под незавершенное техприсоединение новых потребителей, либо вследствие вывода трансформатора в </w:t>
      </w:r>
      <w:r w:rsidRPr="005B6FB5">
        <w:rPr>
          <w:sz w:val="25"/>
        </w:rPr>
        <w:lastRenderedPageBreak/>
        <w:t xml:space="preserve">ремонт. </w:t>
      </w:r>
      <w:r w:rsidR="00295A1A" w:rsidRPr="005B6FB5">
        <w:rPr>
          <w:sz w:val="25"/>
        </w:rPr>
        <w:t xml:space="preserve"> Н</w:t>
      </w:r>
      <w:r w:rsidR="00295A1A" w:rsidRPr="005B6FB5">
        <w:rPr>
          <w:rFonts w:eastAsia="Calibri"/>
          <w:sz w:val="25"/>
          <w:szCs w:val="26"/>
        </w:rPr>
        <w:t>а практике, что наглядно видно из Приложения 1</w:t>
      </w:r>
      <w:r w:rsidR="00450787" w:rsidRPr="005B6FB5">
        <w:rPr>
          <w:rFonts w:eastAsia="Calibri"/>
          <w:sz w:val="25"/>
          <w:szCs w:val="26"/>
        </w:rPr>
        <w:t xml:space="preserve"> к настоящей аналитической записке</w:t>
      </w:r>
      <w:r w:rsidR="00295A1A" w:rsidRPr="005B6FB5">
        <w:rPr>
          <w:rFonts w:eastAsia="Calibri"/>
          <w:sz w:val="25"/>
          <w:szCs w:val="26"/>
        </w:rPr>
        <w:t>, в зонах спроса на сетевую мощность сетевая организация самостоятельно распоряжается прис</w:t>
      </w:r>
      <w:r w:rsidR="00450787" w:rsidRPr="005B6FB5">
        <w:rPr>
          <w:rFonts w:eastAsia="Calibri"/>
          <w:sz w:val="25"/>
          <w:szCs w:val="26"/>
        </w:rPr>
        <w:t xml:space="preserve">оединением новых потребителей, </w:t>
      </w:r>
      <w:r w:rsidR="00295A1A" w:rsidRPr="005B6FB5">
        <w:rPr>
          <w:rFonts w:eastAsia="Calibri"/>
          <w:sz w:val="25"/>
          <w:szCs w:val="26"/>
        </w:rPr>
        <w:t xml:space="preserve">состояние «резерва» </w:t>
      </w:r>
      <w:r w:rsidR="00450787" w:rsidRPr="005B6FB5">
        <w:rPr>
          <w:rFonts w:eastAsia="Calibri"/>
          <w:sz w:val="25"/>
          <w:szCs w:val="26"/>
        </w:rPr>
        <w:t>на центре питания изменяется самой сетевой организацией</w:t>
      </w:r>
      <w:r w:rsidR="00295A1A" w:rsidRPr="005B6FB5">
        <w:rPr>
          <w:rFonts w:eastAsia="Calibri"/>
          <w:sz w:val="25"/>
          <w:szCs w:val="26"/>
        </w:rPr>
        <w:t xml:space="preserve"> в зависимости от наличия стороннего спроса и не зависит от данного потребителя с «бумажным» резервом сетевой мощности.</w:t>
      </w:r>
    </w:p>
    <w:p w:rsidR="00C25CEA" w:rsidRPr="005B6FB5" w:rsidRDefault="00450787" w:rsidP="00C25CEA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В</w:t>
      </w:r>
      <w:r w:rsidR="00295A1A" w:rsidRPr="005B6FB5">
        <w:rPr>
          <w:rFonts w:eastAsia="Calibri"/>
          <w:sz w:val="25"/>
          <w:szCs w:val="26"/>
        </w:rPr>
        <w:t xml:space="preserve"> </w:t>
      </w:r>
      <w:r w:rsidR="00E25D5D" w:rsidRPr="005B6FB5">
        <w:rPr>
          <w:rFonts w:eastAsia="Calibri"/>
          <w:sz w:val="25"/>
          <w:szCs w:val="26"/>
        </w:rPr>
        <w:t>«</w:t>
      </w:r>
      <w:r w:rsidR="00C04A96" w:rsidRPr="005B6FB5">
        <w:rPr>
          <w:rFonts w:eastAsia="Calibri"/>
          <w:sz w:val="25"/>
          <w:szCs w:val="26"/>
        </w:rPr>
        <w:t>открытых</w:t>
      </w:r>
      <w:r w:rsidR="00E25D5D" w:rsidRPr="005B6FB5">
        <w:rPr>
          <w:rFonts w:eastAsia="Calibri"/>
          <w:sz w:val="25"/>
          <w:szCs w:val="26"/>
        </w:rPr>
        <w:t>»</w:t>
      </w:r>
      <w:r w:rsidR="00C04A96" w:rsidRPr="005B6FB5">
        <w:rPr>
          <w:rFonts w:eastAsia="Calibri"/>
          <w:sz w:val="25"/>
          <w:szCs w:val="26"/>
        </w:rPr>
        <w:t xml:space="preserve"> центрах питания со свободной для новых подключений сетевой мощностью </w:t>
      </w:r>
      <w:r w:rsidR="00E25D5D" w:rsidRPr="005B6FB5">
        <w:rPr>
          <w:rFonts w:eastAsia="Calibri"/>
          <w:sz w:val="25"/>
          <w:szCs w:val="26"/>
        </w:rPr>
        <w:t xml:space="preserve">присоединение новых потребителей осуществляется по обычной процедуре технологического присоединения, и </w:t>
      </w:r>
      <w:r w:rsidRPr="005B6FB5">
        <w:rPr>
          <w:rFonts w:eastAsia="Calibri"/>
          <w:sz w:val="25"/>
          <w:szCs w:val="26"/>
        </w:rPr>
        <w:t>процедура перераспределения мощности лишена</w:t>
      </w:r>
      <w:r w:rsidR="00C04A96" w:rsidRPr="005B6FB5">
        <w:rPr>
          <w:rFonts w:eastAsia="Calibri"/>
          <w:sz w:val="25"/>
          <w:szCs w:val="26"/>
        </w:rPr>
        <w:t xml:space="preserve"> смысла</w:t>
      </w:r>
      <w:r w:rsidR="00E25D5D" w:rsidRPr="005B6FB5">
        <w:rPr>
          <w:rFonts w:eastAsia="Calibri"/>
          <w:sz w:val="25"/>
          <w:szCs w:val="26"/>
        </w:rPr>
        <w:t>.   В «</w:t>
      </w:r>
      <w:r w:rsidR="00C04A96" w:rsidRPr="005B6FB5">
        <w:rPr>
          <w:rFonts w:eastAsia="Calibri"/>
          <w:sz w:val="25"/>
          <w:szCs w:val="26"/>
        </w:rPr>
        <w:t>закрытых</w:t>
      </w:r>
      <w:r w:rsidR="00E25D5D" w:rsidRPr="005B6FB5">
        <w:rPr>
          <w:rFonts w:eastAsia="Calibri"/>
          <w:sz w:val="25"/>
          <w:szCs w:val="26"/>
        </w:rPr>
        <w:t>»</w:t>
      </w:r>
      <w:r w:rsidR="00C04A96" w:rsidRPr="005B6FB5">
        <w:rPr>
          <w:rFonts w:eastAsia="Calibri"/>
          <w:sz w:val="25"/>
          <w:szCs w:val="26"/>
        </w:rPr>
        <w:t xml:space="preserve"> центрах питания </w:t>
      </w:r>
      <w:r w:rsidR="00E25D5D" w:rsidRPr="005B6FB5">
        <w:rPr>
          <w:rFonts w:eastAsia="Calibri"/>
          <w:sz w:val="25"/>
          <w:szCs w:val="26"/>
        </w:rPr>
        <w:t>отсутствует реальный доступный резерв</w:t>
      </w:r>
      <w:r w:rsidR="00C04A96" w:rsidRPr="005B6FB5">
        <w:rPr>
          <w:rFonts w:eastAsia="Calibri"/>
          <w:sz w:val="25"/>
          <w:szCs w:val="26"/>
        </w:rPr>
        <w:t xml:space="preserve"> мощности</w:t>
      </w:r>
      <w:r w:rsidR="00E25D5D" w:rsidRPr="005B6FB5">
        <w:rPr>
          <w:rFonts w:eastAsia="Calibri"/>
          <w:sz w:val="25"/>
          <w:szCs w:val="26"/>
        </w:rPr>
        <w:t>, и его высвобождение потребовало бы</w:t>
      </w:r>
      <w:r w:rsidR="00C04A96" w:rsidRPr="005B6FB5">
        <w:rPr>
          <w:rFonts w:eastAsia="Calibri"/>
          <w:sz w:val="25"/>
          <w:szCs w:val="26"/>
        </w:rPr>
        <w:t xml:space="preserve"> сокращения фактической </w:t>
      </w:r>
      <w:r w:rsidR="00E25D5D" w:rsidRPr="005B6FB5">
        <w:rPr>
          <w:rFonts w:eastAsia="Calibri"/>
          <w:sz w:val="25"/>
          <w:szCs w:val="26"/>
        </w:rPr>
        <w:t xml:space="preserve">потребляемой мощности </w:t>
      </w:r>
      <w:r w:rsidR="00C04A96" w:rsidRPr="005B6FB5">
        <w:rPr>
          <w:rFonts w:eastAsia="Calibri"/>
          <w:sz w:val="25"/>
          <w:szCs w:val="26"/>
        </w:rPr>
        <w:t>потребителя</w:t>
      </w:r>
      <w:r w:rsidR="001F2099" w:rsidRPr="005B6FB5">
        <w:rPr>
          <w:rFonts w:eastAsia="Calibri"/>
          <w:sz w:val="25"/>
          <w:szCs w:val="26"/>
        </w:rPr>
        <w:t>.</w:t>
      </w:r>
      <w:r w:rsidR="00295A1A" w:rsidRPr="005B6FB5">
        <w:rPr>
          <w:rFonts w:eastAsia="Calibri"/>
          <w:sz w:val="25"/>
          <w:szCs w:val="26"/>
        </w:rPr>
        <w:t xml:space="preserve"> </w:t>
      </w:r>
      <w:r w:rsidR="001F2099" w:rsidRPr="005B6FB5">
        <w:rPr>
          <w:rFonts w:eastAsia="Calibri"/>
          <w:sz w:val="25"/>
          <w:szCs w:val="26"/>
        </w:rPr>
        <w:t xml:space="preserve"> Таким образом, </w:t>
      </w:r>
      <w:r w:rsidR="00C25CEA" w:rsidRPr="005B6FB5">
        <w:rPr>
          <w:rFonts w:eastAsia="Calibri"/>
          <w:sz w:val="25"/>
          <w:szCs w:val="26"/>
        </w:rPr>
        <w:t>довод о стимулировании к перераспреде</w:t>
      </w:r>
      <w:r w:rsidR="00295A1A" w:rsidRPr="005B6FB5">
        <w:rPr>
          <w:rFonts w:eastAsia="Calibri"/>
          <w:sz w:val="25"/>
          <w:szCs w:val="26"/>
        </w:rPr>
        <w:t xml:space="preserve">лению  мощности путем оплаты «резерва» </w:t>
      </w:r>
      <w:r w:rsidR="001F2099" w:rsidRPr="005B6FB5">
        <w:rPr>
          <w:rFonts w:eastAsia="Calibri"/>
          <w:sz w:val="25"/>
          <w:szCs w:val="26"/>
        </w:rPr>
        <w:t xml:space="preserve">является </w:t>
      </w:r>
      <w:r w:rsidR="00295A1A" w:rsidRPr="005B6FB5">
        <w:rPr>
          <w:rFonts w:eastAsia="Calibri"/>
          <w:sz w:val="25"/>
          <w:szCs w:val="26"/>
        </w:rPr>
        <w:t>ложным.</w:t>
      </w:r>
      <w:r w:rsidR="00C25CEA" w:rsidRPr="005B6FB5">
        <w:rPr>
          <w:rFonts w:eastAsia="Calibri"/>
          <w:sz w:val="25"/>
          <w:szCs w:val="26"/>
        </w:rPr>
        <w:t xml:space="preserve"> </w:t>
      </w:r>
    </w:p>
    <w:p w:rsidR="009E5138" w:rsidRPr="005B6FB5" w:rsidRDefault="009E5138" w:rsidP="00C25CEA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Соответственно, оплата «резерва» не обоснована в случае существенной загрузки центра питания, поскольку сетевая организация фактически распорядилась свободной мощностью, и высокая загрузка обеспечивает экономический эффект от использования сетевого хозяйства.   В случае «открытого» центра питания, то есть в отсутствие стороннего спроса на мощность, потребитель не является единственным ответственным за незагрузку центра питания, - возложение на него экономической ответственности</w:t>
      </w:r>
      <w:r w:rsidR="001F2099" w:rsidRPr="005B6FB5">
        <w:rPr>
          <w:rFonts w:eastAsia="Calibri"/>
          <w:sz w:val="25"/>
          <w:szCs w:val="26"/>
        </w:rPr>
        <w:t xml:space="preserve"> за отсутствие спроса на мощность</w:t>
      </w:r>
      <w:r w:rsidRPr="005B6FB5">
        <w:rPr>
          <w:rFonts w:eastAsia="Calibri"/>
          <w:sz w:val="25"/>
          <w:szCs w:val="26"/>
        </w:rPr>
        <w:t xml:space="preserve"> представляется несправедливым.</w:t>
      </w:r>
    </w:p>
    <w:p w:rsidR="0085183B" w:rsidRPr="005B6FB5" w:rsidRDefault="00E52010" w:rsidP="000B77D3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В</w:t>
      </w:r>
      <w:r w:rsidR="000B77D3" w:rsidRPr="005B6FB5">
        <w:rPr>
          <w:rFonts w:eastAsia="Calibri"/>
          <w:sz w:val="25"/>
          <w:szCs w:val="26"/>
        </w:rPr>
        <w:t xml:space="preserve"> случае отказа </w:t>
      </w:r>
      <w:r w:rsidR="00295A1A" w:rsidRPr="005B6FB5">
        <w:rPr>
          <w:rFonts w:eastAsia="Calibri"/>
          <w:sz w:val="25"/>
          <w:szCs w:val="26"/>
        </w:rPr>
        <w:t xml:space="preserve">потребителя </w:t>
      </w:r>
      <w:r w:rsidR="000B77D3" w:rsidRPr="005B6FB5">
        <w:rPr>
          <w:rFonts w:eastAsia="Calibri"/>
          <w:sz w:val="25"/>
          <w:szCs w:val="26"/>
        </w:rPr>
        <w:t xml:space="preserve">от </w:t>
      </w:r>
      <w:r w:rsidR="00295A1A" w:rsidRPr="005B6FB5">
        <w:rPr>
          <w:rFonts w:eastAsia="Calibri"/>
          <w:sz w:val="25"/>
          <w:szCs w:val="26"/>
        </w:rPr>
        <w:t>«</w:t>
      </w:r>
      <w:r w:rsidR="000B77D3" w:rsidRPr="005B6FB5">
        <w:rPr>
          <w:rFonts w:eastAsia="Calibri"/>
          <w:sz w:val="25"/>
          <w:szCs w:val="26"/>
        </w:rPr>
        <w:t>резерва</w:t>
      </w:r>
      <w:r w:rsidR="00295A1A" w:rsidRPr="005B6FB5">
        <w:rPr>
          <w:rFonts w:eastAsia="Calibri"/>
          <w:sz w:val="25"/>
          <w:szCs w:val="26"/>
        </w:rPr>
        <w:t>»</w:t>
      </w:r>
      <w:r w:rsidR="000B77D3" w:rsidRPr="005B6FB5">
        <w:rPr>
          <w:rFonts w:eastAsia="Calibri"/>
          <w:sz w:val="25"/>
          <w:szCs w:val="26"/>
        </w:rPr>
        <w:t xml:space="preserve"> мощности демонтаж линий и оборудования не предусмотрен</w:t>
      </w:r>
      <w:r w:rsidR="00295A1A" w:rsidRPr="005B6FB5">
        <w:rPr>
          <w:rFonts w:eastAsia="Calibri"/>
          <w:sz w:val="25"/>
          <w:szCs w:val="26"/>
        </w:rPr>
        <w:t xml:space="preserve">.  Исходя из расходов на демонтаж и </w:t>
      </w:r>
      <w:r w:rsidR="0085183B" w:rsidRPr="005B6FB5">
        <w:rPr>
          <w:rFonts w:eastAsia="Calibri"/>
          <w:sz w:val="25"/>
          <w:szCs w:val="26"/>
        </w:rPr>
        <w:t xml:space="preserve">новое строительство, замена сетей на </w:t>
      </w:r>
      <w:r w:rsidR="00295A1A" w:rsidRPr="005B6FB5">
        <w:rPr>
          <w:rFonts w:eastAsia="Calibri"/>
          <w:sz w:val="25"/>
          <w:szCs w:val="26"/>
        </w:rPr>
        <w:t xml:space="preserve"> </w:t>
      </w:r>
      <w:r w:rsidR="0085183B" w:rsidRPr="005B6FB5">
        <w:rPr>
          <w:rFonts w:eastAsia="Calibri"/>
          <w:sz w:val="25"/>
          <w:szCs w:val="26"/>
        </w:rPr>
        <w:t xml:space="preserve">сеть </w:t>
      </w:r>
      <w:r w:rsidR="00295A1A" w:rsidRPr="005B6FB5">
        <w:rPr>
          <w:rFonts w:eastAsia="Calibri"/>
          <w:sz w:val="25"/>
          <w:szCs w:val="26"/>
        </w:rPr>
        <w:t>пониженной пропускной способности под сн</w:t>
      </w:r>
      <w:r w:rsidR="0085183B" w:rsidRPr="005B6FB5">
        <w:rPr>
          <w:rFonts w:eastAsia="Calibri"/>
          <w:sz w:val="25"/>
          <w:szCs w:val="26"/>
        </w:rPr>
        <w:t>иженную максимальную мощность была</w:t>
      </w:r>
      <w:r w:rsidR="000B77D3" w:rsidRPr="005B6FB5">
        <w:rPr>
          <w:rFonts w:eastAsia="Calibri"/>
          <w:sz w:val="25"/>
          <w:szCs w:val="26"/>
        </w:rPr>
        <w:t xml:space="preserve"> бы нецелесообразно</w:t>
      </w:r>
      <w:r w:rsidR="0085183B" w:rsidRPr="005B6FB5">
        <w:rPr>
          <w:rFonts w:eastAsia="Calibri"/>
          <w:sz w:val="25"/>
          <w:szCs w:val="26"/>
        </w:rPr>
        <w:t>й</w:t>
      </w:r>
      <w:r w:rsidR="000B77D3" w:rsidRPr="005B6FB5">
        <w:rPr>
          <w:rFonts w:eastAsia="Calibri"/>
          <w:sz w:val="25"/>
          <w:szCs w:val="26"/>
        </w:rPr>
        <w:t xml:space="preserve">.  Соответственно, не произойдет сокращение </w:t>
      </w:r>
      <w:r w:rsidR="0085183B" w:rsidRPr="005B6FB5">
        <w:rPr>
          <w:rFonts w:eastAsia="Calibri"/>
          <w:sz w:val="25"/>
          <w:szCs w:val="26"/>
        </w:rPr>
        <w:t>незагруженных сетевых мощностей и</w:t>
      </w:r>
      <w:r w:rsidR="000B77D3" w:rsidRPr="005B6FB5">
        <w:rPr>
          <w:rFonts w:eastAsia="Calibri"/>
          <w:sz w:val="25"/>
          <w:szCs w:val="26"/>
        </w:rPr>
        <w:t xml:space="preserve"> сокращение расходов на сетевые мощности</w:t>
      </w:r>
      <w:r w:rsidR="00295A1A" w:rsidRPr="005B6FB5">
        <w:rPr>
          <w:rFonts w:eastAsia="Calibri"/>
          <w:sz w:val="25"/>
          <w:szCs w:val="26"/>
        </w:rPr>
        <w:t xml:space="preserve">.  </w:t>
      </w:r>
      <w:r w:rsidR="0085183B" w:rsidRPr="005B6FB5">
        <w:rPr>
          <w:rFonts w:eastAsia="Calibri"/>
          <w:sz w:val="25"/>
          <w:szCs w:val="26"/>
        </w:rPr>
        <w:t>П</w:t>
      </w:r>
      <w:r w:rsidR="00295A1A" w:rsidRPr="005B6FB5">
        <w:rPr>
          <w:rFonts w:eastAsia="Calibri"/>
          <w:sz w:val="25"/>
          <w:szCs w:val="26"/>
        </w:rPr>
        <w:t xml:space="preserve">оскольку доступная для </w:t>
      </w:r>
      <w:r w:rsidR="00295A1A" w:rsidRPr="005B6FB5">
        <w:rPr>
          <w:rFonts w:eastAsia="Calibri"/>
          <w:sz w:val="25"/>
          <w:szCs w:val="26"/>
        </w:rPr>
        <w:lastRenderedPageBreak/>
        <w:t>подключения сетевая мощность</w:t>
      </w:r>
      <w:r w:rsidR="000B77D3" w:rsidRPr="005B6FB5">
        <w:rPr>
          <w:rFonts w:eastAsia="Calibri"/>
          <w:sz w:val="25"/>
          <w:szCs w:val="26"/>
        </w:rPr>
        <w:t xml:space="preserve"> </w:t>
      </w:r>
      <w:r w:rsidR="00295A1A" w:rsidRPr="005B6FB5">
        <w:rPr>
          <w:rFonts w:eastAsia="Calibri"/>
          <w:sz w:val="25"/>
          <w:szCs w:val="26"/>
        </w:rPr>
        <w:t xml:space="preserve">привязана к конкретным центрам питания, то не произойдет и </w:t>
      </w:r>
      <w:r w:rsidR="000B77D3" w:rsidRPr="005B6FB5">
        <w:rPr>
          <w:rFonts w:eastAsia="Calibri"/>
          <w:sz w:val="25"/>
          <w:szCs w:val="26"/>
        </w:rPr>
        <w:t xml:space="preserve">сокращение объемов нового строительства в целях технологического присоединения в местах имеющегося спроса.  </w:t>
      </w:r>
    </w:p>
    <w:p w:rsidR="000B77D3" w:rsidRPr="005B6FB5" w:rsidRDefault="000B77D3" w:rsidP="000B77D3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В гипотетическом случае демонтажа сетевых объектов снизится </w:t>
      </w:r>
      <w:r w:rsidR="0085183B" w:rsidRPr="005B6FB5">
        <w:rPr>
          <w:rFonts w:eastAsia="Calibri"/>
          <w:sz w:val="25"/>
          <w:szCs w:val="26"/>
        </w:rPr>
        <w:t xml:space="preserve">доступность инфраструктуры для новых присоединений </w:t>
      </w:r>
      <w:r w:rsidRPr="005B6FB5">
        <w:rPr>
          <w:rFonts w:eastAsia="Calibri"/>
          <w:sz w:val="25"/>
          <w:szCs w:val="26"/>
        </w:rPr>
        <w:t>-  в случае появления спроса на такой территории потребуется заново и по новым расценкам возводить сетевую инфраструктуру</w:t>
      </w:r>
      <w:r w:rsidR="008D3270" w:rsidRPr="005B6FB5">
        <w:rPr>
          <w:rFonts w:eastAsia="Calibri"/>
          <w:sz w:val="25"/>
          <w:szCs w:val="26"/>
        </w:rPr>
        <w:t xml:space="preserve"> взамен демонтированной и ранее полностью оплаченной потребителями</w:t>
      </w:r>
      <w:r w:rsidRPr="005B6FB5">
        <w:rPr>
          <w:rFonts w:eastAsia="Calibri"/>
          <w:sz w:val="25"/>
          <w:szCs w:val="26"/>
        </w:rPr>
        <w:t>.</w:t>
      </w:r>
      <w:r w:rsidR="0085183B" w:rsidRPr="005B6FB5">
        <w:rPr>
          <w:rFonts w:eastAsia="Calibri"/>
          <w:sz w:val="25"/>
          <w:szCs w:val="26"/>
        </w:rPr>
        <w:t xml:space="preserve">       </w:t>
      </w:r>
    </w:p>
    <w:p w:rsidR="00F041CB" w:rsidRPr="005B6FB5" w:rsidRDefault="00573ED3" w:rsidP="00413542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4</w:t>
      </w:r>
      <w:r w:rsidR="00F041CB" w:rsidRPr="005B6FB5">
        <w:rPr>
          <w:rFonts w:eastAsia="Calibri"/>
          <w:sz w:val="25"/>
          <w:szCs w:val="26"/>
        </w:rPr>
        <w:t xml:space="preserve">. Вопрос эффективности оплаты «резерва» для </w:t>
      </w:r>
      <w:r w:rsidR="006B42EF" w:rsidRPr="005B6FB5">
        <w:rPr>
          <w:rFonts w:eastAsia="Calibri"/>
          <w:sz w:val="25"/>
          <w:szCs w:val="26"/>
        </w:rPr>
        <w:t xml:space="preserve">оптимизации </w:t>
      </w:r>
      <w:r w:rsidR="0085183B" w:rsidRPr="005B6FB5">
        <w:rPr>
          <w:rFonts w:eastAsia="Calibri"/>
          <w:sz w:val="25"/>
          <w:szCs w:val="26"/>
        </w:rPr>
        <w:t xml:space="preserve">сетевых </w:t>
      </w:r>
      <w:r w:rsidR="00F041CB" w:rsidRPr="005B6FB5">
        <w:rPr>
          <w:rFonts w:eastAsia="Calibri"/>
          <w:sz w:val="25"/>
          <w:szCs w:val="26"/>
        </w:rPr>
        <w:t>мощностей</w:t>
      </w:r>
      <w:r w:rsidR="00601922" w:rsidRPr="005B6FB5">
        <w:rPr>
          <w:rFonts w:eastAsia="Calibri"/>
          <w:sz w:val="25"/>
          <w:szCs w:val="26"/>
        </w:rPr>
        <w:t>.</w:t>
      </w:r>
    </w:p>
    <w:p w:rsidR="00C16832" w:rsidRPr="005B6FB5" w:rsidRDefault="006B42EF" w:rsidP="006B42EF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Порядок определения фактической потребляемой мощности, который неоднократно менялся за последние 3 года и снова меняется Проектом, предполагает определение средневзвешенного за месяц суточного максимума нагрузки (мощности), определяемого в пиковые часы энергосистемы.  Этот порядок отражает участие потребителя в пиковой нагрузке энергосистемы и имеет целью стимулировать потребителей смещать пик своей нагрузки от часов пиковой нагрузки энергосистемы, </w:t>
      </w:r>
      <w:r w:rsidR="00C16832" w:rsidRPr="005B6FB5">
        <w:rPr>
          <w:rFonts w:eastAsia="Calibri"/>
          <w:sz w:val="25"/>
          <w:szCs w:val="26"/>
        </w:rPr>
        <w:t xml:space="preserve">тем самым </w:t>
      </w:r>
      <w:r w:rsidRPr="005B6FB5">
        <w:rPr>
          <w:rFonts w:eastAsia="Calibri"/>
          <w:sz w:val="25"/>
          <w:szCs w:val="26"/>
        </w:rPr>
        <w:t xml:space="preserve">снижая потребность в резерве генерирующих мощностей и сетевых мощностей в масштабах энергосистемы.  </w:t>
      </w:r>
    </w:p>
    <w:p w:rsidR="006B42EF" w:rsidRPr="005B6FB5" w:rsidRDefault="006B42EF" w:rsidP="006B42EF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Концепция оплаты сетевого «резерва» загоняет потребителя в ловушку, поскольку финансовая отдача от смещения нагрузки на ночные часы существенно снижается, вплоть до исчезновения, учитывая дополнительные затраты на организацию работы предприятия ночью.  При этом теряет</w:t>
      </w:r>
      <w:r w:rsidR="00C16832" w:rsidRPr="005B6FB5">
        <w:rPr>
          <w:rFonts w:eastAsia="Calibri"/>
          <w:sz w:val="25"/>
          <w:szCs w:val="26"/>
        </w:rPr>
        <w:t>ся системный</w:t>
      </w:r>
      <w:r w:rsidRPr="005B6FB5">
        <w:rPr>
          <w:rFonts w:eastAsia="Calibri"/>
          <w:sz w:val="25"/>
          <w:szCs w:val="26"/>
        </w:rPr>
        <w:t xml:space="preserve"> эффект от </w:t>
      </w:r>
      <w:r w:rsidR="00C16832" w:rsidRPr="005B6FB5">
        <w:rPr>
          <w:rFonts w:eastAsia="Calibri"/>
          <w:sz w:val="25"/>
          <w:szCs w:val="26"/>
        </w:rPr>
        <w:t>снижения</w:t>
      </w:r>
      <w:r w:rsidRPr="005B6FB5">
        <w:rPr>
          <w:rFonts w:eastAsia="Calibri"/>
          <w:sz w:val="25"/>
          <w:szCs w:val="26"/>
        </w:rPr>
        <w:t xml:space="preserve"> пиковой нагрузки</w:t>
      </w:r>
      <w:r w:rsidR="00C16832" w:rsidRPr="005B6FB5">
        <w:rPr>
          <w:rFonts w:eastAsia="Calibri"/>
          <w:sz w:val="25"/>
          <w:szCs w:val="26"/>
        </w:rPr>
        <w:t xml:space="preserve">, а инфраструктурные организации получают сигнал о необходимости наращивания мощностей, что впоследствии ляжет дополнительной нагрузкой на потребителей. </w:t>
      </w:r>
    </w:p>
    <w:p w:rsidR="00346FB9" w:rsidRPr="005B6FB5" w:rsidRDefault="00346FB9" w:rsidP="009E5138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Считаем </w:t>
      </w:r>
      <w:r w:rsidR="009E5138" w:rsidRPr="005B6FB5">
        <w:rPr>
          <w:rFonts w:eastAsia="Calibri"/>
          <w:sz w:val="25"/>
          <w:szCs w:val="26"/>
        </w:rPr>
        <w:t xml:space="preserve">необходимым обратить внимание на двойное лукавство инициаторов проекта </w:t>
      </w:r>
      <w:r w:rsidRPr="005B6FB5">
        <w:rPr>
          <w:rFonts w:eastAsia="Calibri"/>
          <w:sz w:val="25"/>
          <w:szCs w:val="26"/>
        </w:rPr>
        <w:t xml:space="preserve">относительно </w:t>
      </w:r>
      <w:r w:rsidR="009E5138" w:rsidRPr="005B6FB5">
        <w:rPr>
          <w:rFonts w:eastAsia="Calibri"/>
          <w:sz w:val="25"/>
          <w:szCs w:val="26"/>
        </w:rPr>
        <w:t xml:space="preserve">полной готовности к параллельному внедрению </w:t>
      </w:r>
      <w:r w:rsidR="00E83620" w:rsidRPr="005B6FB5">
        <w:rPr>
          <w:rFonts w:eastAsia="Calibri"/>
          <w:sz w:val="25"/>
          <w:szCs w:val="26"/>
        </w:rPr>
        <w:t>механизма</w:t>
      </w:r>
      <w:r w:rsidR="009E5138" w:rsidRPr="005B6FB5">
        <w:rPr>
          <w:rFonts w:eastAsia="Calibri"/>
          <w:sz w:val="25"/>
          <w:szCs w:val="26"/>
        </w:rPr>
        <w:t xml:space="preserve"> </w:t>
      </w:r>
      <w:r w:rsidR="00E83620" w:rsidRPr="005B6FB5">
        <w:rPr>
          <w:rFonts w:eastAsia="Calibri"/>
          <w:sz w:val="25"/>
          <w:szCs w:val="26"/>
        </w:rPr>
        <w:t xml:space="preserve">экономического понуждения сетевых организаций к </w:t>
      </w:r>
      <w:r w:rsidR="009E5138" w:rsidRPr="005B6FB5">
        <w:rPr>
          <w:rFonts w:eastAsia="Calibri"/>
          <w:sz w:val="25"/>
          <w:szCs w:val="26"/>
        </w:rPr>
        <w:t xml:space="preserve">оптимизации </w:t>
      </w:r>
      <w:r w:rsidR="00E83620" w:rsidRPr="005B6FB5">
        <w:rPr>
          <w:rFonts w:eastAsia="Calibri"/>
          <w:sz w:val="25"/>
          <w:szCs w:val="26"/>
        </w:rPr>
        <w:t xml:space="preserve">избыточной сетевой </w:t>
      </w:r>
      <w:r w:rsidR="00E83620" w:rsidRPr="005B6FB5">
        <w:rPr>
          <w:rFonts w:eastAsia="Calibri"/>
          <w:sz w:val="25"/>
          <w:szCs w:val="26"/>
        </w:rPr>
        <w:lastRenderedPageBreak/>
        <w:t>инфраструктуры через учет</w:t>
      </w:r>
      <w:r w:rsidR="009E5138" w:rsidRPr="005B6FB5">
        <w:rPr>
          <w:rFonts w:eastAsia="Calibri"/>
          <w:sz w:val="25"/>
          <w:szCs w:val="26"/>
        </w:rPr>
        <w:t xml:space="preserve"> фактической загрузки сетевых объектов при тарифном регулировании.  </w:t>
      </w:r>
    </w:p>
    <w:p w:rsidR="00A52C34" w:rsidRPr="005B6FB5" w:rsidRDefault="009E5138" w:rsidP="009E5138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 xml:space="preserve">Первоначальный смысл определения и учета фактической загрузки предполагал исключение из расчета необходимой тарифной выручки незагруженных сетевых объектов, построенных сетевыми организациями на основе ошибок прогнозирования спроса или вследствие методологических стимулов </w:t>
      </w:r>
      <w:r w:rsidR="00A52C34" w:rsidRPr="005B6FB5">
        <w:rPr>
          <w:rFonts w:eastAsia="Calibri"/>
          <w:sz w:val="25"/>
          <w:szCs w:val="26"/>
        </w:rPr>
        <w:t xml:space="preserve">тарифной модели </w:t>
      </w:r>
      <w:r w:rsidRPr="005B6FB5">
        <w:rPr>
          <w:rFonts w:eastAsia="Calibri"/>
          <w:sz w:val="25"/>
          <w:szCs w:val="26"/>
        </w:rPr>
        <w:t>к избыточному строительству.  Однако утвержденный порядок определения степени загрузки вводимых после строительства объектов электросетевого хозяйства (приказ Минэнерго России от 06.05.2014 №250) не предполагает получение понижающего коэффициента, который должен быть учтен при определении тарифных параметров (в соответствии с приказом ФСТ России от 24.12.2014 №</w:t>
      </w:r>
      <w:r w:rsidR="00346FB9" w:rsidRPr="005B6FB5">
        <w:rPr>
          <w:rFonts w:eastAsia="Calibri"/>
          <w:sz w:val="25"/>
          <w:szCs w:val="26"/>
        </w:rPr>
        <w:t> </w:t>
      </w:r>
      <w:r w:rsidRPr="005B6FB5">
        <w:rPr>
          <w:rFonts w:eastAsia="Calibri"/>
          <w:sz w:val="25"/>
          <w:szCs w:val="26"/>
        </w:rPr>
        <w:t xml:space="preserve">2390-э).  Методология указанного порядка заимствована из методик по проектированию энергосистем, и </w:t>
      </w:r>
      <w:r w:rsidR="00A52C34" w:rsidRPr="005B6FB5">
        <w:rPr>
          <w:rFonts w:eastAsia="Calibri"/>
          <w:sz w:val="25"/>
          <w:szCs w:val="26"/>
        </w:rPr>
        <w:t xml:space="preserve">вытекающая </w:t>
      </w:r>
      <w:r w:rsidRPr="005B6FB5">
        <w:rPr>
          <w:rFonts w:eastAsia="Calibri"/>
          <w:sz w:val="25"/>
          <w:szCs w:val="26"/>
        </w:rPr>
        <w:t>из его формул задача – определение требуемой мощности подстанций, способных с максимальной надежностью нести нагрузку всех потребителей, с допусками на транзитные потери, создание системного резерва</w:t>
      </w:r>
      <w:r w:rsidR="00A52C34" w:rsidRPr="005B6FB5">
        <w:rPr>
          <w:rFonts w:eastAsia="Calibri"/>
          <w:sz w:val="25"/>
          <w:szCs w:val="26"/>
        </w:rPr>
        <w:t>,</w:t>
      </w:r>
      <w:r w:rsidRPr="005B6FB5">
        <w:rPr>
          <w:rFonts w:eastAsia="Calibri"/>
          <w:sz w:val="25"/>
          <w:szCs w:val="26"/>
        </w:rPr>
        <w:t xml:space="preserve"> </w:t>
      </w:r>
      <w:r w:rsidR="00A52C34" w:rsidRPr="005B6FB5">
        <w:rPr>
          <w:rFonts w:eastAsia="Calibri"/>
          <w:sz w:val="25"/>
          <w:szCs w:val="26"/>
        </w:rPr>
        <w:t>вероятность</w:t>
      </w:r>
      <w:r w:rsidRPr="005B6FB5">
        <w:rPr>
          <w:rFonts w:eastAsia="Calibri"/>
          <w:sz w:val="25"/>
          <w:szCs w:val="26"/>
        </w:rPr>
        <w:t xml:space="preserve"> одномоментного включения всеми потребителями максимальной нагрузки не ниже исторического пятилетнего максимума.  Учет такого коэффициента при расчете тарифных параметров (стоимости объекта, размера активов, величины амортизационных отчислений) не</w:t>
      </w:r>
      <w:r w:rsidR="00A52C34" w:rsidRPr="005B6FB5">
        <w:rPr>
          <w:rFonts w:eastAsia="Calibri"/>
          <w:sz w:val="25"/>
          <w:szCs w:val="26"/>
        </w:rPr>
        <w:t xml:space="preserve"> </w:t>
      </w:r>
      <w:r w:rsidRPr="005B6FB5">
        <w:rPr>
          <w:rFonts w:eastAsia="Calibri"/>
          <w:sz w:val="25"/>
          <w:szCs w:val="26"/>
        </w:rPr>
        <w:t>способен привести к снижению тарифов сетевых компаний вследствие фактической недозагрузки сети.</w:t>
      </w:r>
    </w:p>
    <w:p w:rsidR="000B77D3" w:rsidRPr="005B6FB5" w:rsidRDefault="002B212D" w:rsidP="00413542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5. Вопрос эффекта для других потребителей (перераспределение тарифной нагрузки)</w:t>
      </w:r>
      <w:r w:rsidR="00A52C34" w:rsidRPr="005B6FB5">
        <w:rPr>
          <w:rFonts w:eastAsia="Calibri"/>
          <w:sz w:val="25"/>
          <w:szCs w:val="26"/>
        </w:rPr>
        <w:t>.</w:t>
      </w:r>
    </w:p>
    <w:p w:rsidR="0080202E" w:rsidRPr="005B6FB5" w:rsidRDefault="00A52C34" w:rsidP="00413542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Ц</w:t>
      </w:r>
      <w:r w:rsidR="00413542" w:rsidRPr="005B6FB5">
        <w:rPr>
          <w:rFonts w:eastAsia="Calibri"/>
          <w:sz w:val="25"/>
          <w:szCs w:val="26"/>
        </w:rPr>
        <w:t>еновая</w:t>
      </w:r>
      <w:r w:rsidRPr="005B6FB5">
        <w:rPr>
          <w:rFonts w:eastAsia="Calibri"/>
          <w:sz w:val="25"/>
          <w:szCs w:val="26"/>
        </w:rPr>
        <w:t xml:space="preserve"> </w:t>
      </w:r>
      <w:r w:rsidR="00413542" w:rsidRPr="005B6FB5">
        <w:rPr>
          <w:rFonts w:eastAsia="Calibri"/>
          <w:sz w:val="25"/>
          <w:szCs w:val="26"/>
        </w:rPr>
        <w:t xml:space="preserve">нагрузка на </w:t>
      </w:r>
      <w:r w:rsidRPr="005B6FB5">
        <w:rPr>
          <w:rFonts w:eastAsia="Calibri"/>
          <w:sz w:val="25"/>
          <w:szCs w:val="26"/>
        </w:rPr>
        <w:t xml:space="preserve">промышленных </w:t>
      </w:r>
      <w:r w:rsidR="00413542" w:rsidRPr="005B6FB5">
        <w:rPr>
          <w:rFonts w:eastAsia="Calibri"/>
          <w:sz w:val="25"/>
          <w:szCs w:val="26"/>
        </w:rPr>
        <w:t>потребителей</w:t>
      </w:r>
      <w:r w:rsidR="0012228B" w:rsidRPr="005B6FB5">
        <w:rPr>
          <w:rFonts w:eastAsia="Calibri"/>
          <w:sz w:val="25"/>
          <w:szCs w:val="26"/>
        </w:rPr>
        <w:t xml:space="preserve"> с</w:t>
      </w:r>
      <w:r w:rsidR="00413542" w:rsidRPr="005B6FB5">
        <w:rPr>
          <w:rFonts w:eastAsia="Calibri"/>
          <w:sz w:val="25"/>
          <w:szCs w:val="26"/>
        </w:rPr>
        <w:t xml:space="preserve"> </w:t>
      </w:r>
      <w:r w:rsidR="0012228B" w:rsidRPr="005B6FB5">
        <w:rPr>
          <w:rFonts w:eastAsia="Calibri"/>
          <w:sz w:val="25"/>
          <w:szCs w:val="26"/>
        </w:rPr>
        <w:t>«</w:t>
      </w:r>
      <w:r w:rsidR="00413542" w:rsidRPr="005B6FB5">
        <w:rPr>
          <w:rFonts w:eastAsia="Calibri"/>
          <w:sz w:val="25"/>
          <w:szCs w:val="26"/>
        </w:rPr>
        <w:t>резерв</w:t>
      </w:r>
      <w:r w:rsidR="0012228B" w:rsidRPr="005B6FB5">
        <w:rPr>
          <w:rFonts w:eastAsia="Calibri"/>
          <w:sz w:val="25"/>
          <w:szCs w:val="26"/>
        </w:rPr>
        <w:t>ом»</w:t>
      </w:r>
      <w:r w:rsidR="00413542" w:rsidRPr="005B6FB5">
        <w:rPr>
          <w:rFonts w:eastAsia="Calibri"/>
          <w:sz w:val="25"/>
          <w:szCs w:val="26"/>
        </w:rPr>
        <w:t xml:space="preserve"> сетевой мощности увеличится, однако нагрузка на иных потребителей не сни</w:t>
      </w:r>
      <w:r w:rsidR="004B4080" w:rsidRPr="005B6FB5">
        <w:rPr>
          <w:rFonts w:eastAsia="Calibri"/>
          <w:sz w:val="25"/>
          <w:szCs w:val="26"/>
        </w:rPr>
        <w:t xml:space="preserve">зится </w:t>
      </w:r>
      <w:r w:rsidR="00FF61D7" w:rsidRPr="005B6FB5">
        <w:rPr>
          <w:rFonts w:eastAsia="Calibri"/>
          <w:sz w:val="25"/>
          <w:szCs w:val="26"/>
        </w:rPr>
        <w:t>–</w:t>
      </w:r>
      <w:r w:rsidR="004B4080" w:rsidRPr="005B6FB5">
        <w:rPr>
          <w:rFonts w:eastAsia="Calibri"/>
          <w:sz w:val="25"/>
          <w:szCs w:val="26"/>
        </w:rPr>
        <w:t xml:space="preserve"> </w:t>
      </w:r>
      <w:r w:rsidRPr="005B6FB5">
        <w:rPr>
          <w:rFonts w:eastAsia="Calibri"/>
          <w:sz w:val="25"/>
          <w:szCs w:val="26"/>
        </w:rPr>
        <w:t>учет</w:t>
      </w:r>
      <w:r w:rsidR="00FF61D7" w:rsidRPr="005B6FB5">
        <w:rPr>
          <w:rFonts w:eastAsia="Calibri"/>
          <w:sz w:val="25"/>
          <w:szCs w:val="26"/>
        </w:rPr>
        <w:t xml:space="preserve"> </w:t>
      </w:r>
      <w:r w:rsidRPr="005B6FB5">
        <w:rPr>
          <w:rFonts w:eastAsia="Calibri"/>
          <w:sz w:val="25"/>
          <w:szCs w:val="26"/>
        </w:rPr>
        <w:t>полученного дополнительного дохода от оплаты «резерва»</w:t>
      </w:r>
      <w:r w:rsidR="00E6378F" w:rsidRPr="005B6FB5">
        <w:rPr>
          <w:rFonts w:eastAsia="Calibri"/>
          <w:sz w:val="25"/>
          <w:szCs w:val="26"/>
        </w:rPr>
        <w:t xml:space="preserve"> произойдет </w:t>
      </w:r>
      <w:r w:rsidR="004B4080" w:rsidRPr="005B6FB5">
        <w:rPr>
          <w:rFonts w:eastAsia="Calibri"/>
          <w:sz w:val="25"/>
          <w:szCs w:val="26"/>
        </w:rPr>
        <w:t xml:space="preserve">на следующий расчетный период, то есть </w:t>
      </w:r>
      <w:r w:rsidR="00E6378F" w:rsidRPr="005B6FB5">
        <w:rPr>
          <w:rFonts w:eastAsia="Calibri"/>
          <w:sz w:val="25"/>
          <w:szCs w:val="26"/>
        </w:rPr>
        <w:t>через 1,5 года</w:t>
      </w:r>
      <w:r w:rsidR="004B4080" w:rsidRPr="005B6FB5">
        <w:rPr>
          <w:rFonts w:eastAsia="Calibri"/>
          <w:sz w:val="25"/>
          <w:szCs w:val="26"/>
        </w:rPr>
        <w:t xml:space="preserve">, </w:t>
      </w:r>
      <w:r w:rsidR="00FF61D7" w:rsidRPr="005B6FB5">
        <w:rPr>
          <w:rFonts w:eastAsia="Calibri"/>
          <w:sz w:val="25"/>
          <w:szCs w:val="26"/>
        </w:rPr>
        <w:t xml:space="preserve">и </w:t>
      </w:r>
      <w:r w:rsidR="0080202E" w:rsidRPr="005B6FB5">
        <w:rPr>
          <w:rFonts w:eastAsia="Calibri"/>
          <w:sz w:val="25"/>
          <w:szCs w:val="26"/>
        </w:rPr>
        <w:t>дополнительная выручка будет скорректирована на понесенные расходы на содержание «резервных» мощностей</w:t>
      </w:r>
      <w:r w:rsidR="00FF61D7" w:rsidRPr="005B6FB5">
        <w:rPr>
          <w:rFonts w:eastAsia="Calibri"/>
          <w:sz w:val="25"/>
          <w:szCs w:val="26"/>
        </w:rPr>
        <w:t xml:space="preserve"> и </w:t>
      </w:r>
      <w:r w:rsidR="00413542" w:rsidRPr="005B6FB5">
        <w:rPr>
          <w:rFonts w:eastAsia="Calibri"/>
          <w:sz w:val="25"/>
          <w:szCs w:val="26"/>
        </w:rPr>
        <w:t>поглощена коррек</w:t>
      </w:r>
      <w:r w:rsidR="00E6378F" w:rsidRPr="005B6FB5">
        <w:rPr>
          <w:rFonts w:eastAsia="Calibri"/>
          <w:sz w:val="25"/>
          <w:szCs w:val="26"/>
        </w:rPr>
        <w:t xml:space="preserve">тировкой на неполученные </w:t>
      </w:r>
      <w:r w:rsidR="00FF61D7" w:rsidRPr="005B6FB5">
        <w:rPr>
          <w:rFonts w:eastAsia="Calibri"/>
          <w:sz w:val="25"/>
          <w:szCs w:val="26"/>
        </w:rPr>
        <w:t xml:space="preserve">(«выпадающие») </w:t>
      </w:r>
      <w:r w:rsidR="00E6378F" w:rsidRPr="005B6FB5">
        <w:rPr>
          <w:rFonts w:eastAsia="Calibri"/>
          <w:sz w:val="25"/>
          <w:szCs w:val="26"/>
        </w:rPr>
        <w:t>доходы.</w:t>
      </w:r>
      <w:r w:rsidR="003B6BB3" w:rsidRPr="005B6FB5">
        <w:rPr>
          <w:rFonts w:eastAsia="Calibri"/>
          <w:sz w:val="25"/>
          <w:szCs w:val="26"/>
        </w:rPr>
        <w:t xml:space="preserve"> </w:t>
      </w:r>
      <w:r w:rsidR="001B6AC0" w:rsidRPr="005B6FB5">
        <w:rPr>
          <w:rFonts w:eastAsia="Calibri"/>
          <w:sz w:val="25"/>
          <w:szCs w:val="26"/>
        </w:rPr>
        <w:t>Таким образом, в</w:t>
      </w:r>
      <w:r w:rsidR="003B6BB3" w:rsidRPr="005B6FB5">
        <w:rPr>
          <w:rFonts w:eastAsia="Calibri"/>
          <w:sz w:val="25"/>
          <w:szCs w:val="26"/>
        </w:rPr>
        <w:t xml:space="preserve"> результате введения оплаты «резерва» не произойдет перераспределение тарифной нагрузки.  </w:t>
      </w:r>
    </w:p>
    <w:p w:rsidR="00C1599E" w:rsidRPr="005B6FB5" w:rsidRDefault="0012228B" w:rsidP="00C1599E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Поскольку крупные потребители обеспечивают значительную долю регионального потребления и по действующей модели тарифообразования уже несут соответствующую долю финансовой нагрузки по содержанию сетевого хозяйства</w:t>
      </w:r>
      <w:r w:rsidR="00D0576A" w:rsidRPr="005B6FB5">
        <w:rPr>
          <w:rFonts w:eastAsia="Calibri"/>
          <w:sz w:val="25"/>
          <w:szCs w:val="26"/>
        </w:rPr>
        <w:t xml:space="preserve">, то дополнительная нагрузка в виде резерва увеличит долю перекладываемой на крупных потребителей </w:t>
      </w:r>
      <w:r w:rsidR="00C1599E" w:rsidRPr="005B6FB5">
        <w:rPr>
          <w:rFonts w:eastAsia="Calibri"/>
          <w:sz w:val="25"/>
          <w:szCs w:val="26"/>
        </w:rPr>
        <w:t>экономической нагрузки</w:t>
      </w:r>
      <w:r w:rsidR="00D0576A" w:rsidRPr="005B6FB5">
        <w:rPr>
          <w:rFonts w:eastAsia="Calibri"/>
          <w:sz w:val="25"/>
          <w:szCs w:val="26"/>
        </w:rPr>
        <w:t>.</w:t>
      </w:r>
      <w:r w:rsidR="00C1599E" w:rsidRPr="005B6FB5">
        <w:rPr>
          <w:rFonts w:eastAsia="Calibri"/>
          <w:sz w:val="25"/>
          <w:szCs w:val="26"/>
        </w:rPr>
        <w:t xml:space="preserve"> </w:t>
      </w:r>
    </w:p>
    <w:p w:rsidR="003B6BB3" w:rsidRPr="005B6FB5" w:rsidRDefault="007523DB" w:rsidP="003B6BB3">
      <w:pPr>
        <w:spacing w:line="276" w:lineRule="auto"/>
        <w:ind w:firstLine="708"/>
        <w:jc w:val="both"/>
        <w:rPr>
          <w:rFonts w:eastAsia="Calibri"/>
          <w:sz w:val="25"/>
          <w:szCs w:val="26"/>
        </w:rPr>
      </w:pPr>
      <w:r w:rsidRPr="005B6FB5">
        <w:rPr>
          <w:rFonts w:eastAsia="Calibri"/>
          <w:sz w:val="25"/>
          <w:szCs w:val="26"/>
        </w:rPr>
        <w:t>Обращаем</w:t>
      </w:r>
      <w:r w:rsidR="00296019" w:rsidRPr="005B6FB5">
        <w:rPr>
          <w:rFonts w:eastAsia="Calibri"/>
          <w:sz w:val="25"/>
          <w:szCs w:val="26"/>
        </w:rPr>
        <w:t xml:space="preserve"> внимание на то, что разработчики формально ответили на замечание об увеличении бремени перекрестного субсидирования на промышленность при повышении платежа по ставке тарифа с учтенной величиной перекрестного субсидирования.   В проект </w:t>
      </w:r>
      <w:r w:rsidR="008E6970" w:rsidRPr="005B6FB5">
        <w:rPr>
          <w:rFonts w:eastAsia="Calibri"/>
          <w:sz w:val="25"/>
          <w:szCs w:val="26"/>
        </w:rPr>
        <w:t>включена норма</w:t>
      </w:r>
      <w:r w:rsidR="00296019" w:rsidRPr="005B6FB5">
        <w:rPr>
          <w:rFonts w:eastAsia="Calibri"/>
          <w:sz w:val="25"/>
          <w:szCs w:val="26"/>
        </w:rPr>
        <w:t xml:space="preserve"> </w:t>
      </w:r>
      <w:r w:rsidR="008E6970" w:rsidRPr="005B6FB5">
        <w:rPr>
          <w:rFonts w:eastAsia="Calibri"/>
          <w:sz w:val="25"/>
          <w:szCs w:val="26"/>
        </w:rPr>
        <w:t>об оплате</w:t>
      </w:r>
      <w:r w:rsidR="00296019" w:rsidRPr="005B6FB5">
        <w:rPr>
          <w:rFonts w:eastAsia="Calibri"/>
          <w:sz w:val="25"/>
          <w:szCs w:val="26"/>
        </w:rPr>
        <w:t xml:space="preserve"> «резерв</w:t>
      </w:r>
      <w:r w:rsidR="008E6970" w:rsidRPr="005B6FB5">
        <w:rPr>
          <w:rFonts w:eastAsia="Calibri"/>
          <w:sz w:val="25"/>
          <w:szCs w:val="26"/>
        </w:rPr>
        <w:t>а</w:t>
      </w:r>
      <w:r w:rsidR="00296019" w:rsidRPr="005B6FB5">
        <w:rPr>
          <w:rFonts w:eastAsia="Calibri"/>
          <w:sz w:val="25"/>
          <w:szCs w:val="26"/>
        </w:rPr>
        <w:t>» по т.н. «экономически обоснованной» ставке на содержание котлового тарифа.  По действующе</w:t>
      </w:r>
      <w:r w:rsidR="008E6970" w:rsidRPr="005B6FB5">
        <w:rPr>
          <w:rFonts w:eastAsia="Calibri"/>
          <w:sz w:val="25"/>
          <w:szCs w:val="26"/>
        </w:rPr>
        <w:t>му</w:t>
      </w:r>
      <w:r w:rsidR="00296019" w:rsidRPr="005B6FB5">
        <w:rPr>
          <w:rFonts w:eastAsia="Calibri"/>
          <w:sz w:val="25"/>
          <w:szCs w:val="26"/>
        </w:rPr>
        <w:t xml:space="preserve"> </w:t>
      </w:r>
      <w:r w:rsidR="008E6970" w:rsidRPr="005B6FB5">
        <w:rPr>
          <w:rFonts w:eastAsia="Calibri"/>
          <w:sz w:val="25"/>
          <w:szCs w:val="26"/>
        </w:rPr>
        <w:t>законодательству о регулировании</w:t>
      </w:r>
      <w:r w:rsidR="00296019" w:rsidRPr="005B6FB5">
        <w:rPr>
          <w:rFonts w:eastAsia="Calibri"/>
          <w:sz w:val="25"/>
          <w:szCs w:val="26"/>
        </w:rPr>
        <w:t xml:space="preserve"> тарифов на услуги по передаче электроэнергии, экономически обоснованными признаются </w:t>
      </w:r>
      <w:r w:rsidR="008E6970" w:rsidRPr="005B6FB5">
        <w:rPr>
          <w:rFonts w:eastAsia="Calibri"/>
          <w:sz w:val="25"/>
          <w:szCs w:val="26"/>
        </w:rPr>
        <w:t>те тарифные ставки</w:t>
      </w:r>
      <w:r w:rsidR="00296019" w:rsidRPr="005B6FB5">
        <w:rPr>
          <w:rFonts w:eastAsia="Calibri"/>
          <w:sz w:val="25"/>
          <w:szCs w:val="26"/>
        </w:rPr>
        <w:t xml:space="preserve">, </w:t>
      </w:r>
      <w:r w:rsidR="008E6970" w:rsidRPr="005B6FB5">
        <w:rPr>
          <w:rFonts w:eastAsia="Calibri"/>
          <w:sz w:val="25"/>
          <w:szCs w:val="26"/>
        </w:rPr>
        <w:t>которые установлены</w:t>
      </w:r>
      <w:r w:rsidR="00296019" w:rsidRPr="005B6FB5">
        <w:rPr>
          <w:rFonts w:eastAsia="Calibri"/>
          <w:sz w:val="25"/>
          <w:szCs w:val="26"/>
        </w:rPr>
        <w:t xml:space="preserve"> регулятором.  </w:t>
      </w:r>
      <w:r w:rsidR="008E6970" w:rsidRPr="005B6FB5">
        <w:rPr>
          <w:rFonts w:eastAsia="Calibri"/>
          <w:sz w:val="25"/>
          <w:szCs w:val="26"/>
        </w:rPr>
        <w:t xml:space="preserve"> Однако разрабатываемая сейчас новая</w:t>
      </w:r>
      <w:r w:rsidR="00296019" w:rsidRPr="005B6FB5">
        <w:rPr>
          <w:rFonts w:eastAsia="Calibri"/>
          <w:sz w:val="25"/>
          <w:szCs w:val="26"/>
        </w:rPr>
        <w:t xml:space="preserve"> метод</w:t>
      </w:r>
      <w:r w:rsidR="008E6970" w:rsidRPr="005B6FB5">
        <w:rPr>
          <w:rFonts w:eastAsia="Calibri"/>
          <w:sz w:val="25"/>
          <w:szCs w:val="26"/>
        </w:rPr>
        <w:t>ика</w:t>
      </w:r>
      <w:r w:rsidR="00296019" w:rsidRPr="005B6FB5">
        <w:rPr>
          <w:rFonts w:eastAsia="Calibri"/>
          <w:sz w:val="25"/>
          <w:szCs w:val="26"/>
        </w:rPr>
        <w:t xml:space="preserve"> расчета региональных тарифов</w:t>
      </w:r>
      <w:r w:rsidR="008E6970" w:rsidRPr="005B6FB5">
        <w:rPr>
          <w:rFonts w:eastAsia="Calibri"/>
          <w:sz w:val="25"/>
          <w:szCs w:val="26"/>
        </w:rPr>
        <w:t xml:space="preserve"> </w:t>
      </w:r>
      <w:r w:rsidR="00296019" w:rsidRPr="005B6FB5">
        <w:rPr>
          <w:rFonts w:eastAsia="Calibri"/>
          <w:sz w:val="25"/>
          <w:szCs w:val="26"/>
        </w:rPr>
        <w:t>изменяет формулу расчета "экономически обоснованной" ставки на содержание таким образом, что основная тарифная нагрузка перекладывается на промышленных потребителей на высоком уровне напряжения</w:t>
      </w:r>
      <w:r w:rsidR="008E6970" w:rsidRPr="005B6FB5">
        <w:rPr>
          <w:rFonts w:eastAsia="Calibri"/>
          <w:sz w:val="25"/>
          <w:szCs w:val="26"/>
        </w:rPr>
        <w:t>, математически снижая величину перекрестного субсидирования.  П</w:t>
      </w:r>
      <w:r w:rsidR="00296019" w:rsidRPr="005B6FB5">
        <w:rPr>
          <w:rFonts w:eastAsia="Calibri"/>
          <w:sz w:val="25"/>
          <w:szCs w:val="26"/>
        </w:rPr>
        <w:t>о</w:t>
      </w:r>
      <w:r w:rsidR="008E6970" w:rsidRPr="005B6FB5">
        <w:rPr>
          <w:rFonts w:eastAsia="Calibri"/>
          <w:sz w:val="25"/>
          <w:szCs w:val="26"/>
        </w:rPr>
        <w:t xml:space="preserve"> </w:t>
      </w:r>
      <w:r w:rsidR="00296019" w:rsidRPr="005B6FB5">
        <w:rPr>
          <w:rFonts w:eastAsia="Calibri"/>
          <w:sz w:val="25"/>
          <w:szCs w:val="26"/>
        </w:rPr>
        <w:t xml:space="preserve">имеющимся расчетам, новая "экономически обоснованная" ставка будет </w:t>
      </w:r>
      <w:r w:rsidR="008E6970" w:rsidRPr="005B6FB5">
        <w:rPr>
          <w:rFonts w:eastAsia="Calibri"/>
          <w:sz w:val="25"/>
          <w:szCs w:val="26"/>
        </w:rPr>
        <w:t xml:space="preserve">существенно </w:t>
      </w:r>
      <w:r w:rsidR="00296019" w:rsidRPr="005B6FB5">
        <w:rPr>
          <w:rFonts w:eastAsia="Calibri"/>
          <w:sz w:val="25"/>
          <w:szCs w:val="26"/>
        </w:rPr>
        <w:t xml:space="preserve">выше </w:t>
      </w:r>
      <w:r w:rsidR="008E6970" w:rsidRPr="005B6FB5">
        <w:rPr>
          <w:rFonts w:eastAsia="Calibri"/>
          <w:sz w:val="25"/>
          <w:szCs w:val="26"/>
        </w:rPr>
        <w:t xml:space="preserve">действующих </w:t>
      </w:r>
      <w:r w:rsidR="00296019" w:rsidRPr="005B6FB5">
        <w:rPr>
          <w:rFonts w:eastAsia="Calibri"/>
          <w:sz w:val="25"/>
          <w:szCs w:val="26"/>
        </w:rPr>
        <w:t xml:space="preserve">ставок на высоком уровне напряжения, установленных по ныне действующей методике. </w:t>
      </w:r>
      <w:r w:rsidR="008E6970" w:rsidRPr="005B6FB5">
        <w:rPr>
          <w:rFonts w:eastAsia="Calibri"/>
          <w:sz w:val="25"/>
          <w:szCs w:val="26"/>
        </w:rPr>
        <w:t xml:space="preserve"> Таким образом, ценовая нагрузка на промышленность от оплаты «резерва» будет выше, чем по ранее проведенным оценкам. </w:t>
      </w:r>
    </w:p>
    <w:p w:rsidR="007C5C5A" w:rsidRPr="005B6FB5" w:rsidRDefault="007C5C5A" w:rsidP="009902E6">
      <w:pPr>
        <w:spacing w:after="200"/>
        <w:jc w:val="right"/>
        <w:rPr>
          <w:i/>
          <w:sz w:val="20"/>
        </w:rPr>
      </w:pPr>
      <w:r w:rsidRPr="005B6FB5">
        <w:rPr>
          <w:i/>
          <w:sz w:val="20"/>
        </w:rPr>
        <w:t>Приложение 1</w:t>
      </w:r>
      <w:r w:rsidR="009902E6" w:rsidRPr="005B6FB5">
        <w:rPr>
          <w:i/>
          <w:sz w:val="20"/>
        </w:rPr>
        <w:t xml:space="preserve"> к </w:t>
      </w:r>
      <w:r w:rsidR="009902E6" w:rsidRPr="005B6FB5">
        <w:rPr>
          <w:rFonts w:eastAsiaTheme="minorHAnsi"/>
          <w:sz w:val="20"/>
          <w:szCs w:val="25"/>
          <w:lang w:eastAsia="en-US"/>
        </w:rPr>
        <w:t xml:space="preserve">Аналитической записке по </w:t>
      </w:r>
      <w:r w:rsidR="009902E6" w:rsidRPr="005B6FB5">
        <w:rPr>
          <w:rFonts w:eastAsiaTheme="minorHAnsi"/>
          <w:sz w:val="20"/>
          <w:szCs w:val="25"/>
          <w:lang w:eastAsia="en-US"/>
        </w:rPr>
        <w:br/>
        <w:t xml:space="preserve">вопросу обоснованности введения механизма </w:t>
      </w:r>
      <w:r w:rsidR="009902E6" w:rsidRPr="005B6FB5">
        <w:rPr>
          <w:rFonts w:eastAsiaTheme="minorHAnsi"/>
          <w:sz w:val="20"/>
          <w:szCs w:val="25"/>
          <w:lang w:eastAsia="en-US"/>
        </w:rPr>
        <w:br/>
        <w:t xml:space="preserve">«бери или плати» при расчётах за услуги по </w:t>
      </w:r>
      <w:r w:rsidR="009902E6" w:rsidRPr="005B6FB5">
        <w:rPr>
          <w:rFonts w:eastAsiaTheme="minorHAnsi"/>
          <w:sz w:val="20"/>
          <w:szCs w:val="25"/>
          <w:lang w:eastAsia="en-US"/>
        </w:rPr>
        <w:br/>
        <w:t xml:space="preserve">передаче электрической энергии путём оплаты </w:t>
      </w:r>
      <w:r w:rsidR="009902E6" w:rsidRPr="005B6FB5">
        <w:rPr>
          <w:rFonts w:eastAsiaTheme="minorHAnsi"/>
          <w:sz w:val="20"/>
          <w:szCs w:val="25"/>
          <w:lang w:eastAsia="en-US"/>
        </w:rPr>
        <w:br/>
        <w:t>«резервируемой  максимальной сетевой мощности»</w:t>
      </w:r>
    </w:p>
    <w:p w:rsidR="007C5C5A" w:rsidRPr="005B6FB5" w:rsidRDefault="007C5C5A" w:rsidP="007C5C5A">
      <w:pPr>
        <w:pStyle w:val="a3"/>
        <w:jc w:val="right"/>
        <w:rPr>
          <w:rFonts w:ascii="Times New Roman" w:hAnsi="Times New Roman" w:cs="Times New Roman"/>
        </w:rPr>
      </w:pPr>
    </w:p>
    <w:p w:rsidR="00D61D98" w:rsidRPr="005B6FB5" w:rsidRDefault="00D61D98" w:rsidP="00D61D98">
      <w:pPr>
        <w:jc w:val="center"/>
      </w:pPr>
      <w:r w:rsidRPr="005B6FB5">
        <w:t>Анализ соответствия сетевого хозяйства сетевых организаций модели,</w:t>
      </w:r>
      <w:r w:rsidRPr="005B6FB5">
        <w:br/>
        <w:t xml:space="preserve"> заложенной в проект постановления о ведении оплаты резерва сетевой мощности </w:t>
      </w:r>
      <w:r w:rsidRPr="005B6FB5">
        <w:br/>
        <w:t>(в разрезе МРСК)</w:t>
      </w:r>
    </w:p>
    <w:tbl>
      <w:tblPr>
        <w:tblW w:w="9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336"/>
        <w:gridCol w:w="1559"/>
        <w:gridCol w:w="1560"/>
        <w:gridCol w:w="1417"/>
        <w:gridCol w:w="1423"/>
      </w:tblGrid>
      <w:tr w:rsidR="00D61D98" w:rsidRPr="005B6FB5" w:rsidTr="00D61D98">
        <w:trPr>
          <w:trHeight w:val="1718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Установленная мощность подстанций ДЗО ОАО "Россети", без учета региональных ТСО, п</w:t>
            </w:r>
            <w:r w:rsidRPr="005B6FB5">
              <w:rPr>
                <w:color w:val="2F2C2D"/>
                <w:lang w:eastAsia="en-US"/>
              </w:rPr>
              <w:t xml:space="preserve">одстанции 35-220 кВ, </w:t>
            </w:r>
            <w:r w:rsidRPr="005B6FB5">
              <w:rPr>
                <w:color w:val="000000"/>
                <w:lang w:eastAsia="en-US"/>
              </w:rPr>
              <w:t xml:space="preserve">на 2013 (тыс.МВА) </w:t>
            </w:r>
            <w:r w:rsidRPr="005B6FB5"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Соотношение установленной мощности подстанций и максимальной мощности всех потребителей (при пересчете из полной мощности в активную мощность)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 xml:space="preserve">Суммарная максимальная мощность потребителей по документам ТП, на 2013, </w:t>
            </w:r>
          </w:p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 xml:space="preserve">(тыс. МВт) </w:t>
            </w:r>
            <w:r w:rsidRPr="005B6FB5">
              <w:rPr>
                <w:color w:val="000000"/>
                <w:vertAlign w:val="superscript"/>
                <w:lang w:eastAsia="en-US"/>
              </w:rPr>
              <w:t>2</w:t>
            </w:r>
          </w:p>
        </w:tc>
      </w:tr>
      <w:tr w:rsidR="00D61D98" w:rsidRPr="005B6FB5" w:rsidTr="00D61D98">
        <w:trPr>
          <w:trHeight w:val="1717"/>
        </w:trPr>
        <w:tc>
          <w:tcPr>
            <w:tcW w:w="4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cos ϕ = 0,85</w:t>
            </w:r>
            <w:r w:rsidRPr="005B6FB5"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cos ϕ = 0,75</w:t>
            </w:r>
            <w:r w:rsidRPr="005B6FB5">
              <w:rPr>
                <w:color w:val="000000"/>
                <w:vertAlign w:val="superscript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cos ϕ = 0,6</w:t>
            </w:r>
            <w:r w:rsidRPr="005B6FB5">
              <w:rPr>
                <w:color w:val="000000"/>
                <w:vertAlign w:val="superscript"/>
                <w:lang w:eastAsia="en-US"/>
              </w:rPr>
              <w:t>4</w:t>
            </w: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МРСК Волги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27,46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115%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101%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81%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20,32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МСРК Центра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33,2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122%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107%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86%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23,19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Кубаньэнерго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9,1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89%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71%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i/>
                <w:iCs/>
                <w:color w:val="000000"/>
                <w:lang w:eastAsia="en-US"/>
              </w:rPr>
            </w:pPr>
            <w:r w:rsidRPr="005B6FB5">
              <w:rPr>
                <w:bCs/>
                <w:i/>
                <w:iCs/>
                <w:color w:val="000000"/>
                <w:lang w:eastAsia="en-US"/>
              </w:rPr>
              <w:t>7,71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МРСК ЦиП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29,67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103%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91%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73%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24,46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Янтарьэнерго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2,6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115%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101%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81%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1,93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МРСК Сев-Зап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18,3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129%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114%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91%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12,02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МРСК Юга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18,7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120%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106%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85%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13,26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МРСК Урала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21,5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71%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62%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50%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25,89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ТРК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iCs/>
                <w:szCs w:val="18"/>
                <w:lang w:eastAsia="en-US"/>
              </w:rPr>
            </w:pPr>
            <w:r w:rsidRPr="005B6FB5">
              <w:rPr>
                <w:bCs/>
                <w:iCs/>
                <w:szCs w:val="18"/>
                <w:lang w:eastAsia="en-US"/>
              </w:rPr>
              <w:t>2,8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238%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210%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168%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Ленэнерго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iCs/>
                <w:szCs w:val="18"/>
                <w:lang w:eastAsia="en-US"/>
              </w:rPr>
            </w:pPr>
            <w:r w:rsidRPr="005B6FB5">
              <w:rPr>
                <w:bCs/>
                <w:iCs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120%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106%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85%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10,62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МРСК Сибири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29,8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106%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94%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75%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23,87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МОЭСК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47,3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174%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153%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123%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23,16</w:t>
            </w:r>
          </w:p>
        </w:tc>
      </w:tr>
      <w:tr w:rsidR="00D61D98" w:rsidRPr="005B6FB5" w:rsidTr="00D61D9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rPr>
                <w:color w:val="000000"/>
                <w:lang w:eastAsia="en-US"/>
              </w:rPr>
            </w:pPr>
            <w:r w:rsidRPr="005B6FB5">
              <w:rPr>
                <w:color w:val="000000"/>
                <w:lang w:eastAsia="en-US"/>
              </w:rPr>
              <w:t>Тюмень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2F2C2D"/>
                <w:szCs w:val="18"/>
                <w:lang w:eastAsia="en-US"/>
              </w:rPr>
            </w:pPr>
            <w:r w:rsidRPr="005B6FB5">
              <w:rPr>
                <w:bCs/>
                <w:color w:val="2F2C2D"/>
                <w:szCs w:val="18"/>
                <w:lang w:eastAsia="en-US"/>
              </w:rPr>
              <w:t>208%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183%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146%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D98" w:rsidRPr="005B6FB5" w:rsidRDefault="00D61D9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5B6FB5">
              <w:rPr>
                <w:bCs/>
                <w:color w:val="000000"/>
                <w:lang w:eastAsia="en-US"/>
              </w:rPr>
              <w:t>11,06</w:t>
            </w:r>
          </w:p>
        </w:tc>
      </w:tr>
    </w:tbl>
    <w:p w:rsidR="00D61D98" w:rsidRPr="005B6FB5" w:rsidRDefault="00D61D98" w:rsidP="00D61D98">
      <w:pPr>
        <w:ind w:left="3261"/>
        <w:contextualSpacing/>
        <w:jc w:val="both"/>
        <w:rPr>
          <w:sz w:val="20"/>
        </w:rPr>
      </w:pPr>
      <w:r w:rsidRPr="005B6FB5">
        <w:rPr>
          <w:sz w:val="20"/>
        </w:rPr>
        <w:t>1 Источник данных: сайты и годовые отчеты сетевых компаний (МРСК)</w:t>
      </w:r>
    </w:p>
    <w:p w:rsidR="00D61D98" w:rsidRPr="005B6FB5" w:rsidRDefault="00D61D98" w:rsidP="00D61D98">
      <w:pPr>
        <w:ind w:left="3261"/>
        <w:contextualSpacing/>
        <w:jc w:val="both"/>
        <w:rPr>
          <w:sz w:val="20"/>
        </w:rPr>
      </w:pPr>
      <w:r w:rsidRPr="005B6FB5">
        <w:rPr>
          <w:sz w:val="20"/>
        </w:rPr>
        <w:t>2 Источник данных: материалы ОАО «Россети», апрель 2014</w:t>
      </w:r>
    </w:p>
    <w:p w:rsidR="00D61D98" w:rsidRPr="005B6FB5" w:rsidRDefault="00D61D98" w:rsidP="00D61D98">
      <w:pPr>
        <w:ind w:left="3261"/>
        <w:contextualSpacing/>
        <w:jc w:val="both"/>
        <w:rPr>
          <w:sz w:val="20"/>
        </w:rPr>
      </w:pPr>
      <w:r w:rsidRPr="005B6FB5">
        <w:rPr>
          <w:sz w:val="20"/>
        </w:rPr>
        <w:t>3 «Проектировочный» коэффициент соотношения активной и реактивной мощности, исходя из реактивной мощности, производимой электрогенератором</w:t>
      </w:r>
    </w:p>
    <w:p w:rsidR="00D61D98" w:rsidRPr="005B6FB5" w:rsidRDefault="00D61D98" w:rsidP="00D61D98">
      <w:pPr>
        <w:ind w:left="3261"/>
        <w:contextualSpacing/>
        <w:jc w:val="both"/>
        <w:rPr>
          <w:sz w:val="20"/>
        </w:rPr>
      </w:pPr>
      <w:r w:rsidRPr="005B6FB5">
        <w:rPr>
          <w:sz w:val="20"/>
        </w:rPr>
        <w:t xml:space="preserve">4 Приближенные к фактическим значения соотношения активной и реактивной мощности </w:t>
      </w:r>
      <w:r w:rsidRPr="005B6FB5">
        <w:rPr>
          <w:rStyle w:val="af4"/>
        </w:rPr>
        <w:footnoteReference w:id="3"/>
      </w:r>
    </w:p>
    <w:p w:rsidR="00D61D98" w:rsidRPr="005B6FB5" w:rsidRDefault="00D61D98" w:rsidP="00D61D98">
      <w:pPr>
        <w:spacing w:line="276" w:lineRule="auto"/>
        <w:ind w:left="2977"/>
        <w:contextualSpacing/>
        <w:jc w:val="both"/>
      </w:pPr>
    </w:p>
    <w:p w:rsidR="00D61D98" w:rsidRPr="005B6FB5" w:rsidRDefault="00D61D98" w:rsidP="00D61D98">
      <w:pPr>
        <w:spacing w:line="276" w:lineRule="auto"/>
        <w:ind w:firstLine="708"/>
        <w:jc w:val="both"/>
      </w:pPr>
      <w:r w:rsidRPr="005B6FB5">
        <w:t xml:space="preserve">Исходя из заложенного в проект подхода к соотношению максимальной мощности потребителей и сетевой инфраструктуры, суммарная установленная мощность подстанций 35-110(220)кВ должна более чем в 2 раза превышать суммарную максимальную мощность потребителей: к арифметической сумме мощностей потребителей следовало бы прибавить удвоение мощности в отношении потребителей, присоединенных по двум источникам внешнего электроснабжения (1-2 категории надежности – промышленность, все «неотключаемые», социальные и ГО/ЧС объекты), а поскольку требование системной надежности требует т.н. «резервирования по сети» (обеспечение такой структуры электросетевого хозяйства, чтобы при отключении любого одного элемента системы не происходило бы нарушение электроснабжения; на практике это решается установкой дублирующих трансформаторов на центрах питания, с тем чтобы при отключении одного трансформатора полную нагрузку принял второй), то указанную выше сумму следовало бы удвоить.  Кроме того, следовало бы учесть, что некоторая часть трансформаторной мощности </w:t>
      </w:r>
      <w:r w:rsidR="00D6466F" w:rsidRPr="005B6FB5">
        <w:t xml:space="preserve">на уровне 110 и выше кВ «обслуживает» нижестоящие центры питания уровня 35 кВ, т.е. указанные величины мощностей задваиваются в некоторой доле.  Некоторая часть мощности </w:t>
      </w:r>
      <w:r w:rsidRPr="005B6FB5">
        <w:t>является системной и не привязана к конкретным потребителям (не имеет непосредственно подключенного конечного потребителя): «обслуживает» переток от нижестоящих и смежных центров питания, обеспечивает межсистемные перетоки из других регионов, обеспечивает схему выдачи мощности генерирующих объектов, построена под перспективный рост нагрузки.</w:t>
      </w:r>
    </w:p>
    <w:p w:rsidR="00D61D98" w:rsidRPr="005B6FB5" w:rsidRDefault="00D61D98" w:rsidP="00D61D98">
      <w:pPr>
        <w:spacing w:line="276" w:lineRule="auto"/>
        <w:ind w:firstLine="708"/>
        <w:jc w:val="both"/>
      </w:pPr>
      <w:r w:rsidRPr="005B6FB5">
        <w:t xml:space="preserve">Однако, даже при использовании «проектировочного» условия  пересчета кВА в кВт для приведения к единым единицам выражения (cos ϕ = 0,85), по подавляющему большинству регионов очевидно лишь некоторое превышение суммарной установленной мощности над арифметической суммой максимальных мощностей потребителей.  </w:t>
      </w:r>
    </w:p>
    <w:p w:rsidR="00D61D98" w:rsidRPr="005B6FB5" w:rsidRDefault="00D61D98" w:rsidP="00D61D98">
      <w:pPr>
        <w:spacing w:line="276" w:lineRule="auto"/>
        <w:ind w:firstLine="708"/>
        <w:jc w:val="both"/>
      </w:pPr>
      <w:r w:rsidRPr="005B6FB5">
        <w:t xml:space="preserve">Из этого следует, что реальная сетевая инфраструктура не соответствует заложенной в проект модели, а во многих регионах потребителям с очевидностью «продано» больше мощности, чем фактически имеется сетевых объектов (при соблюдении требований проектирования энергосистем). </w:t>
      </w:r>
    </w:p>
    <w:p w:rsidR="00D61D98" w:rsidRPr="005B6FB5" w:rsidRDefault="00D61D98" w:rsidP="00D61D98">
      <w:pPr>
        <w:spacing w:line="276" w:lineRule="auto"/>
        <w:ind w:firstLine="708"/>
        <w:jc w:val="both"/>
      </w:pPr>
      <w:r w:rsidRPr="005B6FB5">
        <w:t xml:space="preserve">Исходя из приведенных в таблице данных (источник - ОАО «Россети»), только Томская распредсетевая компания (ОАО ТРК) и Тюменьэнерго (при условии приближенного к идеальному балансу реактивной мощности в энергосистеме) могли бы соответствовать модели.  </w:t>
      </w:r>
    </w:p>
    <w:p w:rsidR="00D61D98" w:rsidRPr="005B6FB5" w:rsidRDefault="00D61D98" w:rsidP="00D61D98">
      <w:pPr>
        <w:spacing w:after="200" w:line="276" w:lineRule="auto"/>
        <w:ind w:firstLine="703"/>
        <w:contextualSpacing/>
        <w:jc w:val="both"/>
        <w:rPr>
          <w:rFonts w:eastAsiaTheme="minorHAnsi"/>
          <w:lang w:eastAsia="en-US"/>
        </w:rPr>
      </w:pPr>
      <w:r w:rsidRPr="005B6FB5">
        <w:t xml:space="preserve">   </w:t>
      </w:r>
      <w:r w:rsidRPr="005B6FB5">
        <w:rPr>
          <w:rFonts w:eastAsiaTheme="minorHAnsi"/>
          <w:lang w:eastAsia="en-US"/>
        </w:rPr>
        <w:t xml:space="preserve">В качестве иллюстрации отсутствия понятной корреляции между «бумажной» арифметической суммой мощности по актам ТП потребителей и объемом мощности сетевых объектов, вводимых после строительства или реконструкции в целях подключения потребителей: совокупно по МРСК за период с 2009 по 2013 год сообщается о подключении (по актам о ТП) суммарно 29 ГВт мощности энергопринимающих устройств, или около 35 ГВА полной мощности (из расчета «проектировочного» коэффициента </w:t>
      </w:r>
      <w:r w:rsidRPr="005B6FB5">
        <w:rPr>
          <w:color w:val="000000"/>
        </w:rPr>
        <w:t>cos ϕ = 0,85</w:t>
      </w:r>
      <w:r w:rsidRPr="005B6FB5">
        <w:rPr>
          <w:rFonts w:eastAsiaTheme="minorHAnsi"/>
          <w:lang w:eastAsia="en-US"/>
        </w:rPr>
        <w:t xml:space="preserve">), при этом объем ввода (постановки под нагрузку) трансформаторных мощностей составил 53,2 ГВА, однако прирост суммарной установленной мощности трансформаторов в целом составил 28,65 ГВА за этот же период, включая сетевые мощности под перспективное развитие, обеспечение резервирования трансформаторной мощности по надежности, объекты системной надежности. </w:t>
      </w:r>
    </w:p>
    <w:p w:rsidR="00D61D98" w:rsidRPr="00D61D98" w:rsidRDefault="00D61D98" w:rsidP="00D61D98">
      <w:pPr>
        <w:rPr>
          <w:rFonts w:asciiTheme="minorHAnsi" w:hAnsiTheme="minorHAnsi" w:cstheme="minorHAnsi"/>
        </w:rPr>
      </w:pPr>
    </w:p>
    <w:p w:rsidR="00D61D98" w:rsidRPr="00D61D98" w:rsidRDefault="00D61D98" w:rsidP="00D61D98">
      <w:pPr>
        <w:rPr>
          <w:rFonts w:asciiTheme="minorHAnsi" w:hAnsiTheme="minorHAnsi" w:cstheme="minorHAnsi"/>
        </w:rPr>
      </w:pPr>
    </w:p>
    <w:p w:rsidR="00A72D54" w:rsidRPr="00D61D98" w:rsidRDefault="00A72D54" w:rsidP="004F3807">
      <w:pPr>
        <w:tabs>
          <w:tab w:val="left" w:pos="7655"/>
        </w:tabs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sectPr w:rsidR="00A72D54" w:rsidRPr="00D61D98" w:rsidSect="0026335B">
      <w:headerReference w:type="even" r:id="rId41"/>
      <w:footerReference w:type="even" r:id="rId42"/>
      <w:footerReference w:type="default" r:id="rId43"/>
      <w:pgSz w:w="11906" w:h="16838"/>
      <w:pgMar w:top="1134" w:right="566" w:bottom="1276" w:left="1276" w:header="426" w:footer="2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0F" w:rsidRDefault="004A150F" w:rsidP="00B510DB">
      <w:r>
        <w:separator/>
      </w:r>
    </w:p>
  </w:endnote>
  <w:endnote w:type="continuationSeparator" w:id="0">
    <w:p w:rsidR="004A150F" w:rsidRDefault="004A150F" w:rsidP="00B510DB">
      <w:r>
        <w:continuationSeparator/>
      </w:r>
    </w:p>
  </w:endnote>
  <w:endnote w:type="continuationNotice" w:id="1">
    <w:p w:rsidR="004A150F" w:rsidRDefault="004A1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oefler Tex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B1" w:rsidRPr="004F3807" w:rsidRDefault="009A58B1" w:rsidP="001B47D0">
    <w:pPr>
      <w:tabs>
        <w:tab w:val="left" w:pos="7655"/>
      </w:tabs>
      <w:jc w:val="both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4F3807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исп.: Е.В. Мещерякова </w:t>
    </w:r>
  </w:p>
  <w:p w:rsidR="009A58B1" w:rsidRPr="004F3807" w:rsidRDefault="009A58B1" w:rsidP="001B47D0">
    <w:pPr>
      <w:tabs>
        <w:tab w:val="left" w:pos="7655"/>
      </w:tabs>
      <w:jc w:val="both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4F3807">
      <w:rPr>
        <w:rFonts w:asciiTheme="minorHAnsi" w:eastAsiaTheme="minorHAnsi" w:hAnsiTheme="minorHAnsi" w:cstheme="minorHAnsi"/>
        <w:sz w:val="18"/>
        <w:szCs w:val="18"/>
        <w:lang w:eastAsia="en-US"/>
      </w:rPr>
      <w:t>(495) 258-28-11 (доб.120)</w:t>
    </w:r>
  </w:p>
  <w:p w:rsidR="009A58B1" w:rsidRPr="009F143C" w:rsidRDefault="00F61E22" w:rsidP="001B47D0">
    <w:pPr>
      <w:tabs>
        <w:tab w:val="left" w:pos="7655"/>
      </w:tabs>
      <w:jc w:val="both"/>
      <w:rPr>
        <w:rStyle w:val="ac"/>
        <w:rFonts w:cstheme="minorHAnsi"/>
        <w:color w:val="auto"/>
        <w:u w:val="none"/>
      </w:rPr>
    </w:pPr>
    <w:hyperlink r:id="rId1" w:history="1"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val="en-US" w:eastAsia="en-US"/>
        </w:rPr>
        <w:t>mev</w:t>
      </w:r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eastAsia="en-US"/>
        </w:rPr>
        <w:t>@</w:t>
      </w:r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val="en-US" w:eastAsia="en-US"/>
        </w:rPr>
        <w:t>np</w:t>
      </w:r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eastAsia="en-US"/>
        </w:rPr>
        <w:t>-</w:t>
      </w:r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val="en-US" w:eastAsia="en-US"/>
        </w:rPr>
        <w:t>ace</w:t>
      </w:r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eastAsia="en-US"/>
        </w:rPr>
        <w:t>.</w:t>
      </w:r>
      <w:r w:rsidR="009A58B1" w:rsidRPr="004F3807">
        <w:rPr>
          <w:rFonts w:asciiTheme="minorHAnsi" w:eastAsiaTheme="minorHAnsi" w:hAnsiTheme="minorHAnsi" w:cstheme="minorHAnsi"/>
          <w:color w:val="0000FF" w:themeColor="hyperlink"/>
          <w:sz w:val="18"/>
          <w:szCs w:val="18"/>
          <w:u w:val="single"/>
          <w:lang w:val="en-US" w:eastAsia="en-US"/>
        </w:rPr>
        <w:t>ru</w:t>
      </w:r>
    </w:hyperlink>
    <w:r w:rsidR="009A58B1" w:rsidRPr="004F3807">
      <w:rPr>
        <w:rFonts w:asciiTheme="minorHAnsi" w:eastAsiaTheme="minorHAnsi" w:hAnsiTheme="minorHAnsi" w:cstheme="minorHAnsi"/>
        <w:color w:val="0000FF" w:themeColor="hyperlink"/>
        <w:sz w:val="18"/>
        <w:szCs w:val="18"/>
        <w:u w:val="single"/>
        <w:lang w:eastAsia="en-US"/>
      </w:rPr>
      <w:t xml:space="preserve"> </w:t>
    </w:r>
  </w:p>
  <w:p w:rsidR="009A58B1" w:rsidRDefault="009A58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B1" w:rsidRPr="0026335B" w:rsidRDefault="009A58B1" w:rsidP="0026335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0F" w:rsidRDefault="004A150F" w:rsidP="00B510DB">
      <w:r>
        <w:separator/>
      </w:r>
    </w:p>
  </w:footnote>
  <w:footnote w:type="continuationSeparator" w:id="0">
    <w:p w:rsidR="004A150F" w:rsidRDefault="004A150F" w:rsidP="00B510DB">
      <w:r>
        <w:continuationSeparator/>
      </w:r>
    </w:p>
  </w:footnote>
  <w:footnote w:type="continuationNotice" w:id="1">
    <w:p w:rsidR="004A150F" w:rsidRDefault="004A150F"/>
  </w:footnote>
  <w:footnote w:id="2">
    <w:p w:rsidR="009A58B1" w:rsidRDefault="009A58B1" w:rsidP="00EF5160">
      <w:pPr>
        <w:pStyle w:val="af2"/>
        <w:jc w:val="both"/>
      </w:pPr>
      <w:r>
        <w:rPr>
          <w:rStyle w:val="af4"/>
        </w:rPr>
        <w:footnoteRef/>
      </w:r>
      <w:r>
        <w:t xml:space="preserve"> До указанной даты, насколько известно, единый руководящий документ в Группе ОАО «Россети» по вопросу резерва мощностей отсутствовал, в ДЗО применялись локальные стандарты и инструкции (нормы технологического проектирования подстанций, нормативы выбора мощности силовых транформаторов и т.д.)</w:t>
      </w:r>
    </w:p>
  </w:footnote>
  <w:footnote w:id="3">
    <w:p w:rsidR="009A58B1" w:rsidRDefault="009A58B1" w:rsidP="00D61D98">
      <w:pPr>
        <w:pStyle w:val="af2"/>
        <w:tabs>
          <w:tab w:val="left" w:pos="3402"/>
        </w:tabs>
        <w:jc w:val="both"/>
        <w:rPr>
          <w:rFonts w:asciiTheme="minorHAnsi" w:hAnsiTheme="minorHAnsi" w:cstheme="minorBidi"/>
        </w:rPr>
      </w:pPr>
      <w:r>
        <w:rPr>
          <w:rStyle w:val="af4"/>
        </w:rPr>
        <w:footnoteRef/>
      </w:r>
      <w:r>
        <w:t xml:space="preserve"> сетевые организации, в случае если в оформленных по старым правилам документах о техприсоединении потребителей указана полная мощность (кВА), для пересчета в активную мощность (кВт) применяют коэффициенты 0,4 для объектов 35 кВ и 0,5 для объектов 110кВ (п.76 Правил технологического присоединения, утв. ППРФ № 861 от 27.12.2004 в актуальной редакции)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755967"/>
      <w:docPartObj>
        <w:docPartGallery w:val="Page Numbers (Top of Page)"/>
        <w:docPartUnique/>
      </w:docPartObj>
    </w:sdtPr>
    <w:sdtEndPr/>
    <w:sdtContent>
      <w:p w:rsidR="009A58B1" w:rsidRDefault="009A58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58B1" w:rsidRDefault="009A5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BB3"/>
    <w:multiLevelType w:val="hybridMultilevel"/>
    <w:tmpl w:val="E02E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780"/>
    <w:multiLevelType w:val="hybridMultilevel"/>
    <w:tmpl w:val="431E2D1A"/>
    <w:lvl w:ilvl="0" w:tplc="49CEB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4110CD"/>
    <w:multiLevelType w:val="hybridMultilevel"/>
    <w:tmpl w:val="591870F2"/>
    <w:lvl w:ilvl="0" w:tplc="443AC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4F4E5D"/>
    <w:multiLevelType w:val="hybridMultilevel"/>
    <w:tmpl w:val="12A4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6A0"/>
    <w:multiLevelType w:val="hybridMultilevel"/>
    <w:tmpl w:val="55B46FA8"/>
    <w:lvl w:ilvl="0" w:tplc="69D81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501BDE"/>
    <w:multiLevelType w:val="hybridMultilevel"/>
    <w:tmpl w:val="83DC2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2B08C9"/>
    <w:multiLevelType w:val="hybridMultilevel"/>
    <w:tmpl w:val="B4907814"/>
    <w:lvl w:ilvl="0" w:tplc="B7221F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F3473D"/>
    <w:multiLevelType w:val="hybridMultilevel"/>
    <w:tmpl w:val="689A6178"/>
    <w:lvl w:ilvl="0" w:tplc="7074A1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057504"/>
    <w:multiLevelType w:val="hybridMultilevel"/>
    <w:tmpl w:val="37EE2F4C"/>
    <w:lvl w:ilvl="0" w:tplc="D42C2574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04746C0"/>
    <w:multiLevelType w:val="hybridMultilevel"/>
    <w:tmpl w:val="EB70D2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4411B8"/>
    <w:multiLevelType w:val="hybridMultilevel"/>
    <w:tmpl w:val="2EB89230"/>
    <w:lvl w:ilvl="0" w:tplc="CA4E9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F323C4"/>
    <w:multiLevelType w:val="hybridMultilevel"/>
    <w:tmpl w:val="BCB2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02C"/>
    <w:multiLevelType w:val="hybridMultilevel"/>
    <w:tmpl w:val="54CA1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BC2D88"/>
    <w:multiLevelType w:val="hybridMultilevel"/>
    <w:tmpl w:val="27BA83DA"/>
    <w:lvl w:ilvl="0" w:tplc="36F27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6D76E2"/>
    <w:multiLevelType w:val="hybridMultilevel"/>
    <w:tmpl w:val="1A826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D83933"/>
    <w:multiLevelType w:val="hybridMultilevel"/>
    <w:tmpl w:val="4078A0DC"/>
    <w:lvl w:ilvl="0" w:tplc="4C98F082">
      <w:start w:val="1"/>
      <w:numFmt w:val="decimal"/>
      <w:lvlText w:val="%1."/>
      <w:lvlJc w:val="left"/>
      <w:pPr>
        <w:ind w:left="15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0CD1217"/>
    <w:multiLevelType w:val="hybridMultilevel"/>
    <w:tmpl w:val="533A5CF4"/>
    <w:lvl w:ilvl="0" w:tplc="235A8E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EE6F87"/>
    <w:multiLevelType w:val="hybridMultilevel"/>
    <w:tmpl w:val="0264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C066C"/>
    <w:multiLevelType w:val="hybridMultilevel"/>
    <w:tmpl w:val="3C6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77892"/>
    <w:multiLevelType w:val="hybridMultilevel"/>
    <w:tmpl w:val="846230FE"/>
    <w:lvl w:ilvl="0" w:tplc="794E01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CD7F90"/>
    <w:multiLevelType w:val="multilevel"/>
    <w:tmpl w:val="46E08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B166CC1"/>
    <w:multiLevelType w:val="hybridMultilevel"/>
    <w:tmpl w:val="BAFAB37E"/>
    <w:lvl w:ilvl="0" w:tplc="C2A02E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261D29"/>
    <w:multiLevelType w:val="hybridMultilevel"/>
    <w:tmpl w:val="37A875F8"/>
    <w:lvl w:ilvl="0" w:tplc="3E2C8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5371B50"/>
    <w:multiLevelType w:val="hybridMultilevel"/>
    <w:tmpl w:val="167E3396"/>
    <w:lvl w:ilvl="0" w:tplc="69BAA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F291F18"/>
    <w:multiLevelType w:val="hybridMultilevel"/>
    <w:tmpl w:val="5E0ED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5"/>
  </w:num>
  <w:num w:numId="9">
    <w:abstractNumId w:val="23"/>
  </w:num>
  <w:num w:numId="10">
    <w:abstractNumId w:val="16"/>
  </w:num>
  <w:num w:numId="11">
    <w:abstractNumId w:val="20"/>
  </w:num>
  <w:num w:numId="12">
    <w:abstractNumId w:val="6"/>
  </w:num>
  <w:num w:numId="13">
    <w:abstractNumId w:val="13"/>
  </w:num>
  <w:num w:numId="14">
    <w:abstractNumId w:val="22"/>
  </w:num>
  <w:num w:numId="15">
    <w:abstractNumId w:val="2"/>
  </w:num>
  <w:num w:numId="16">
    <w:abstractNumId w:val="10"/>
  </w:num>
  <w:num w:numId="17">
    <w:abstractNumId w:val="17"/>
  </w:num>
  <w:num w:numId="18">
    <w:abstractNumId w:val="1"/>
  </w:num>
  <w:num w:numId="19">
    <w:abstractNumId w:val="15"/>
  </w:num>
  <w:num w:numId="20">
    <w:abstractNumId w:val="19"/>
  </w:num>
  <w:num w:numId="21">
    <w:abstractNumId w:val="8"/>
  </w:num>
  <w:num w:numId="22">
    <w:abstractNumId w:val="21"/>
  </w:num>
  <w:num w:numId="23">
    <w:abstractNumId w:val="7"/>
  </w:num>
  <w:num w:numId="24">
    <w:abstractNumId w:val="4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1B"/>
    <w:rsid w:val="00001E4A"/>
    <w:rsid w:val="00002581"/>
    <w:rsid w:val="000030D8"/>
    <w:rsid w:val="000046CA"/>
    <w:rsid w:val="00005988"/>
    <w:rsid w:val="0000599B"/>
    <w:rsid w:val="00010376"/>
    <w:rsid w:val="000108BE"/>
    <w:rsid w:val="00010C4A"/>
    <w:rsid w:val="00012ADF"/>
    <w:rsid w:val="0001495C"/>
    <w:rsid w:val="00014CBD"/>
    <w:rsid w:val="000157AD"/>
    <w:rsid w:val="00017F79"/>
    <w:rsid w:val="00020E8D"/>
    <w:rsid w:val="000222FE"/>
    <w:rsid w:val="000233B9"/>
    <w:rsid w:val="00024726"/>
    <w:rsid w:val="00024DDD"/>
    <w:rsid w:val="00026EE2"/>
    <w:rsid w:val="00031FBA"/>
    <w:rsid w:val="000321FB"/>
    <w:rsid w:val="000327C4"/>
    <w:rsid w:val="00033D08"/>
    <w:rsid w:val="00034670"/>
    <w:rsid w:val="00035668"/>
    <w:rsid w:val="00036CDE"/>
    <w:rsid w:val="0003715F"/>
    <w:rsid w:val="0004072A"/>
    <w:rsid w:val="00040A4D"/>
    <w:rsid w:val="00041356"/>
    <w:rsid w:val="0004181D"/>
    <w:rsid w:val="0004230F"/>
    <w:rsid w:val="000458C4"/>
    <w:rsid w:val="000479E2"/>
    <w:rsid w:val="0005176F"/>
    <w:rsid w:val="000534F1"/>
    <w:rsid w:val="00053D5A"/>
    <w:rsid w:val="000552CD"/>
    <w:rsid w:val="0005594C"/>
    <w:rsid w:val="00056294"/>
    <w:rsid w:val="000622CC"/>
    <w:rsid w:val="000636E7"/>
    <w:rsid w:val="000661B3"/>
    <w:rsid w:val="000662E9"/>
    <w:rsid w:val="00066DFD"/>
    <w:rsid w:val="00067E5F"/>
    <w:rsid w:val="000707E4"/>
    <w:rsid w:val="00070B9D"/>
    <w:rsid w:val="00071CCB"/>
    <w:rsid w:val="00073C37"/>
    <w:rsid w:val="000763B5"/>
    <w:rsid w:val="0007641E"/>
    <w:rsid w:val="00077035"/>
    <w:rsid w:val="000821EE"/>
    <w:rsid w:val="00082CC6"/>
    <w:rsid w:val="00083135"/>
    <w:rsid w:val="000836F7"/>
    <w:rsid w:val="0008395F"/>
    <w:rsid w:val="00083F2E"/>
    <w:rsid w:val="00083FF3"/>
    <w:rsid w:val="00084D89"/>
    <w:rsid w:val="0008517D"/>
    <w:rsid w:val="0008549C"/>
    <w:rsid w:val="00085728"/>
    <w:rsid w:val="000864DB"/>
    <w:rsid w:val="00087EA2"/>
    <w:rsid w:val="000926F6"/>
    <w:rsid w:val="00093B0F"/>
    <w:rsid w:val="00093CBD"/>
    <w:rsid w:val="00093D89"/>
    <w:rsid w:val="00095845"/>
    <w:rsid w:val="00095975"/>
    <w:rsid w:val="00095A29"/>
    <w:rsid w:val="000A0A5C"/>
    <w:rsid w:val="000A1040"/>
    <w:rsid w:val="000A2B20"/>
    <w:rsid w:val="000A2CEE"/>
    <w:rsid w:val="000A3A26"/>
    <w:rsid w:val="000A3E07"/>
    <w:rsid w:val="000A4ECA"/>
    <w:rsid w:val="000A6241"/>
    <w:rsid w:val="000A6715"/>
    <w:rsid w:val="000A6BDF"/>
    <w:rsid w:val="000A6E00"/>
    <w:rsid w:val="000B1C95"/>
    <w:rsid w:val="000B1CDC"/>
    <w:rsid w:val="000B2934"/>
    <w:rsid w:val="000B322D"/>
    <w:rsid w:val="000B354F"/>
    <w:rsid w:val="000B3EFD"/>
    <w:rsid w:val="000B536B"/>
    <w:rsid w:val="000B540A"/>
    <w:rsid w:val="000B56F1"/>
    <w:rsid w:val="000B65F0"/>
    <w:rsid w:val="000B77D3"/>
    <w:rsid w:val="000C07A6"/>
    <w:rsid w:val="000C205A"/>
    <w:rsid w:val="000C2DC1"/>
    <w:rsid w:val="000C3520"/>
    <w:rsid w:val="000C4858"/>
    <w:rsid w:val="000C4E31"/>
    <w:rsid w:val="000C5BB1"/>
    <w:rsid w:val="000C5F9B"/>
    <w:rsid w:val="000C7A46"/>
    <w:rsid w:val="000D0686"/>
    <w:rsid w:val="000D14A9"/>
    <w:rsid w:val="000D150C"/>
    <w:rsid w:val="000D159C"/>
    <w:rsid w:val="000D1F4A"/>
    <w:rsid w:val="000D6738"/>
    <w:rsid w:val="000D7997"/>
    <w:rsid w:val="000E130A"/>
    <w:rsid w:val="000E29F5"/>
    <w:rsid w:val="000E2C77"/>
    <w:rsid w:val="000E31A0"/>
    <w:rsid w:val="000E3B1A"/>
    <w:rsid w:val="000E6659"/>
    <w:rsid w:val="000F254B"/>
    <w:rsid w:val="000F270A"/>
    <w:rsid w:val="000F6EF2"/>
    <w:rsid w:val="000F7619"/>
    <w:rsid w:val="000F7B8A"/>
    <w:rsid w:val="00100E4F"/>
    <w:rsid w:val="001010E4"/>
    <w:rsid w:val="00101231"/>
    <w:rsid w:val="00102522"/>
    <w:rsid w:val="00102C34"/>
    <w:rsid w:val="00102E98"/>
    <w:rsid w:val="0011157B"/>
    <w:rsid w:val="00111687"/>
    <w:rsid w:val="0011195C"/>
    <w:rsid w:val="00111C1E"/>
    <w:rsid w:val="001138A8"/>
    <w:rsid w:val="00113BEF"/>
    <w:rsid w:val="00114B06"/>
    <w:rsid w:val="0011769E"/>
    <w:rsid w:val="00117906"/>
    <w:rsid w:val="00120939"/>
    <w:rsid w:val="0012154C"/>
    <w:rsid w:val="001218F3"/>
    <w:rsid w:val="0012228B"/>
    <w:rsid w:val="001241D0"/>
    <w:rsid w:val="00125665"/>
    <w:rsid w:val="0012604A"/>
    <w:rsid w:val="0012688C"/>
    <w:rsid w:val="00130B91"/>
    <w:rsid w:val="00130FE9"/>
    <w:rsid w:val="001318AE"/>
    <w:rsid w:val="001336B2"/>
    <w:rsid w:val="001364FE"/>
    <w:rsid w:val="001366CD"/>
    <w:rsid w:val="00141DD8"/>
    <w:rsid w:val="00141E15"/>
    <w:rsid w:val="001424C5"/>
    <w:rsid w:val="00142C3E"/>
    <w:rsid w:val="001440C3"/>
    <w:rsid w:val="00144E9D"/>
    <w:rsid w:val="0014505F"/>
    <w:rsid w:val="00147DD3"/>
    <w:rsid w:val="00150A61"/>
    <w:rsid w:val="001533A7"/>
    <w:rsid w:val="00153989"/>
    <w:rsid w:val="001544FF"/>
    <w:rsid w:val="001556F8"/>
    <w:rsid w:val="001557FE"/>
    <w:rsid w:val="001563AF"/>
    <w:rsid w:val="0016193D"/>
    <w:rsid w:val="0016223F"/>
    <w:rsid w:val="00163D85"/>
    <w:rsid w:val="00164E52"/>
    <w:rsid w:val="0016501A"/>
    <w:rsid w:val="00167764"/>
    <w:rsid w:val="00171237"/>
    <w:rsid w:val="001718C2"/>
    <w:rsid w:val="0017289F"/>
    <w:rsid w:val="00173AA9"/>
    <w:rsid w:val="001741CC"/>
    <w:rsid w:val="00177657"/>
    <w:rsid w:val="00180271"/>
    <w:rsid w:val="001838A9"/>
    <w:rsid w:val="00183BCF"/>
    <w:rsid w:val="00183C51"/>
    <w:rsid w:val="0018417C"/>
    <w:rsid w:val="001844A8"/>
    <w:rsid w:val="00185164"/>
    <w:rsid w:val="00186353"/>
    <w:rsid w:val="0019058C"/>
    <w:rsid w:val="00190C04"/>
    <w:rsid w:val="0019164D"/>
    <w:rsid w:val="00191DC9"/>
    <w:rsid w:val="00192C5B"/>
    <w:rsid w:val="00196BC9"/>
    <w:rsid w:val="0019773D"/>
    <w:rsid w:val="00197D4C"/>
    <w:rsid w:val="001A00E8"/>
    <w:rsid w:val="001A01EE"/>
    <w:rsid w:val="001A11C1"/>
    <w:rsid w:val="001A131A"/>
    <w:rsid w:val="001A14B9"/>
    <w:rsid w:val="001A2213"/>
    <w:rsid w:val="001A347C"/>
    <w:rsid w:val="001A34E3"/>
    <w:rsid w:val="001A4D45"/>
    <w:rsid w:val="001A5D4D"/>
    <w:rsid w:val="001B0694"/>
    <w:rsid w:val="001B2D21"/>
    <w:rsid w:val="001B47D0"/>
    <w:rsid w:val="001B4EFA"/>
    <w:rsid w:val="001B66E0"/>
    <w:rsid w:val="001B6AC0"/>
    <w:rsid w:val="001C0340"/>
    <w:rsid w:val="001C2035"/>
    <w:rsid w:val="001C22A4"/>
    <w:rsid w:val="001C28EA"/>
    <w:rsid w:val="001C5914"/>
    <w:rsid w:val="001C6753"/>
    <w:rsid w:val="001C798D"/>
    <w:rsid w:val="001D093B"/>
    <w:rsid w:val="001D20D4"/>
    <w:rsid w:val="001D300C"/>
    <w:rsid w:val="001D4F4F"/>
    <w:rsid w:val="001D529F"/>
    <w:rsid w:val="001D6686"/>
    <w:rsid w:val="001D7D08"/>
    <w:rsid w:val="001E0A95"/>
    <w:rsid w:val="001E0ABF"/>
    <w:rsid w:val="001E0CB5"/>
    <w:rsid w:val="001E34DF"/>
    <w:rsid w:val="001E40FE"/>
    <w:rsid w:val="001E4A4D"/>
    <w:rsid w:val="001E5D4E"/>
    <w:rsid w:val="001E6F95"/>
    <w:rsid w:val="001E7EF6"/>
    <w:rsid w:val="001F2099"/>
    <w:rsid w:val="001F22AA"/>
    <w:rsid w:val="001F2933"/>
    <w:rsid w:val="001F4F78"/>
    <w:rsid w:val="001F5747"/>
    <w:rsid w:val="001F59F9"/>
    <w:rsid w:val="001F5FA8"/>
    <w:rsid w:val="001F6661"/>
    <w:rsid w:val="001F715F"/>
    <w:rsid w:val="0020017D"/>
    <w:rsid w:val="0020063B"/>
    <w:rsid w:val="00200CC5"/>
    <w:rsid w:val="00200E99"/>
    <w:rsid w:val="00201239"/>
    <w:rsid w:val="002012FF"/>
    <w:rsid w:val="00201937"/>
    <w:rsid w:val="00201F46"/>
    <w:rsid w:val="00203166"/>
    <w:rsid w:val="00204307"/>
    <w:rsid w:val="002043E4"/>
    <w:rsid w:val="00205BB9"/>
    <w:rsid w:val="00210EC5"/>
    <w:rsid w:val="00211198"/>
    <w:rsid w:val="00211EB8"/>
    <w:rsid w:val="0021207A"/>
    <w:rsid w:val="00212883"/>
    <w:rsid w:val="002135E7"/>
    <w:rsid w:val="0021490B"/>
    <w:rsid w:val="002164F0"/>
    <w:rsid w:val="00217BE6"/>
    <w:rsid w:val="0022074E"/>
    <w:rsid w:val="00221800"/>
    <w:rsid w:val="00222491"/>
    <w:rsid w:val="0022272B"/>
    <w:rsid w:val="00223A39"/>
    <w:rsid w:val="00223B04"/>
    <w:rsid w:val="00225784"/>
    <w:rsid w:val="002261F1"/>
    <w:rsid w:val="0022627B"/>
    <w:rsid w:val="00226942"/>
    <w:rsid w:val="00227652"/>
    <w:rsid w:val="002333BF"/>
    <w:rsid w:val="00234189"/>
    <w:rsid w:val="00234F3E"/>
    <w:rsid w:val="00236CF8"/>
    <w:rsid w:val="0023712A"/>
    <w:rsid w:val="002378FA"/>
    <w:rsid w:val="0023797C"/>
    <w:rsid w:val="00240E82"/>
    <w:rsid w:val="002411D9"/>
    <w:rsid w:val="00245377"/>
    <w:rsid w:val="00251252"/>
    <w:rsid w:val="00251818"/>
    <w:rsid w:val="002528A1"/>
    <w:rsid w:val="00253049"/>
    <w:rsid w:val="002534DF"/>
    <w:rsid w:val="0025368B"/>
    <w:rsid w:val="002554F1"/>
    <w:rsid w:val="00255EAA"/>
    <w:rsid w:val="00260981"/>
    <w:rsid w:val="00260AFA"/>
    <w:rsid w:val="00260EE3"/>
    <w:rsid w:val="00261B62"/>
    <w:rsid w:val="00262CA8"/>
    <w:rsid w:val="0026335B"/>
    <w:rsid w:val="002636BC"/>
    <w:rsid w:val="00263D83"/>
    <w:rsid w:val="002644B2"/>
    <w:rsid w:val="002661DD"/>
    <w:rsid w:val="002664B7"/>
    <w:rsid w:val="00266C20"/>
    <w:rsid w:val="002672E6"/>
    <w:rsid w:val="00270783"/>
    <w:rsid w:val="00270B99"/>
    <w:rsid w:val="002714B8"/>
    <w:rsid w:val="00271649"/>
    <w:rsid w:val="0027295A"/>
    <w:rsid w:val="00273031"/>
    <w:rsid w:val="0027569F"/>
    <w:rsid w:val="00275C33"/>
    <w:rsid w:val="0027629F"/>
    <w:rsid w:val="00276520"/>
    <w:rsid w:val="00276FAA"/>
    <w:rsid w:val="0027701B"/>
    <w:rsid w:val="002847C7"/>
    <w:rsid w:val="002851A6"/>
    <w:rsid w:val="002862A3"/>
    <w:rsid w:val="0028691E"/>
    <w:rsid w:val="00287696"/>
    <w:rsid w:val="0029031A"/>
    <w:rsid w:val="0029096F"/>
    <w:rsid w:val="002946F7"/>
    <w:rsid w:val="00295A1A"/>
    <w:rsid w:val="00296019"/>
    <w:rsid w:val="0029661F"/>
    <w:rsid w:val="002A0509"/>
    <w:rsid w:val="002A1BE1"/>
    <w:rsid w:val="002A22A5"/>
    <w:rsid w:val="002A2383"/>
    <w:rsid w:val="002A30C5"/>
    <w:rsid w:val="002A37E5"/>
    <w:rsid w:val="002A456B"/>
    <w:rsid w:val="002A6309"/>
    <w:rsid w:val="002A7712"/>
    <w:rsid w:val="002B1660"/>
    <w:rsid w:val="002B212D"/>
    <w:rsid w:val="002B24B5"/>
    <w:rsid w:val="002B2F6C"/>
    <w:rsid w:val="002B4C24"/>
    <w:rsid w:val="002B5870"/>
    <w:rsid w:val="002B58B3"/>
    <w:rsid w:val="002B5B1F"/>
    <w:rsid w:val="002B775D"/>
    <w:rsid w:val="002C004D"/>
    <w:rsid w:val="002C0AF2"/>
    <w:rsid w:val="002C1E1D"/>
    <w:rsid w:val="002C2EE1"/>
    <w:rsid w:val="002C5D14"/>
    <w:rsid w:val="002C61B5"/>
    <w:rsid w:val="002C6AAD"/>
    <w:rsid w:val="002C6BE5"/>
    <w:rsid w:val="002C7316"/>
    <w:rsid w:val="002C7979"/>
    <w:rsid w:val="002D1318"/>
    <w:rsid w:val="002D23D8"/>
    <w:rsid w:val="002D37BC"/>
    <w:rsid w:val="002D3A33"/>
    <w:rsid w:val="002D4BCF"/>
    <w:rsid w:val="002D551E"/>
    <w:rsid w:val="002D7600"/>
    <w:rsid w:val="002E1670"/>
    <w:rsid w:val="002E1D0C"/>
    <w:rsid w:val="002E2279"/>
    <w:rsid w:val="002E597B"/>
    <w:rsid w:val="002E78DA"/>
    <w:rsid w:val="002E7FC7"/>
    <w:rsid w:val="002F019A"/>
    <w:rsid w:val="002F04B7"/>
    <w:rsid w:val="002F099C"/>
    <w:rsid w:val="002F0CE7"/>
    <w:rsid w:val="002F111A"/>
    <w:rsid w:val="002F1AA9"/>
    <w:rsid w:val="002F2D1C"/>
    <w:rsid w:val="002F3E26"/>
    <w:rsid w:val="002F459E"/>
    <w:rsid w:val="002F6D91"/>
    <w:rsid w:val="0030060B"/>
    <w:rsid w:val="00300659"/>
    <w:rsid w:val="003045C7"/>
    <w:rsid w:val="00307067"/>
    <w:rsid w:val="0030730A"/>
    <w:rsid w:val="003079EB"/>
    <w:rsid w:val="00311A1A"/>
    <w:rsid w:val="00311B07"/>
    <w:rsid w:val="00312955"/>
    <w:rsid w:val="0031371D"/>
    <w:rsid w:val="00314457"/>
    <w:rsid w:val="00315CE1"/>
    <w:rsid w:val="003166D1"/>
    <w:rsid w:val="0031723E"/>
    <w:rsid w:val="00317457"/>
    <w:rsid w:val="003208AF"/>
    <w:rsid w:val="00321293"/>
    <w:rsid w:val="0032170B"/>
    <w:rsid w:val="00322131"/>
    <w:rsid w:val="00324C3A"/>
    <w:rsid w:val="00327591"/>
    <w:rsid w:val="00331724"/>
    <w:rsid w:val="00332ECA"/>
    <w:rsid w:val="003340B6"/>
    <w:rsid w:val="00336128"/>
    <w:rsid w:val="00340FE9"/>
    <w:rsid w:val="003427F8"/>
    <w:rsid w:val="0034293B"/>
    <w:rsid w:val="003429D8"/>
    <w:rsid w:val="00342D65"/>
    <w:rsid w:val="00343901"/>
    <w:rsid w:val="00343F3F"/>
    <w:rsid w:val="00343F4C"/>
    <w:rsid w:val="00344252"/>
    <w:rsid w:val="00345323"/>
    <w:rsid w:val="00346FB9"/>
    <w:rsid w:val="00347A92"/>
    <w:rsid w:val="00350FB3"/>
    <w:rsid w:val="00351CE2"/>
    <w:rsid w:val="0035270E"/>
    <w:rsid w:val="00354698"/>
    <w:rsid w:val="00354908"/>
    <w:rsid w:val="00354B18"/>
    <w:rsid w:val="0035676B"/>
    <w:rsid w:val="00360C6A"/>
    <w:rsid w:val="00363E4A"/>
    <w:rsid w:val="00364CAF"/>
    <w:rsid w:val="0036583A"/>
    <w:rsid w:val="00365998"/>
    <w:rsid w:val="00366167"/>
    <w:rsid w:val="00366A0C"/>
    <w:rsid w:val="00366A78"/>
    <w:rsid w:val="00366AD0"/>
    <w:rsid w:val="0036779E"/>
    <w:rsid w:val="00370187"/>
    <w:rsid w:val="003705D3"/>
    <w:rsid w:val="00370837"/>
    <w:rsid w:val="00372BA6"/>
    <w:rsid w:val="00373DEF"/>
    <w:rsid w:val="00374E24"/>
    <w:rsid w:val="003755CE"/>
    <w:rsid w:val="003760FA"/>
    <w:rsid w:val="003777AA"/>
    <w:rsid w:val="00377E8C"/>
    <w:rsid w:val="00380902"/>
    <w:rsid w:val="00382FB6"/>
    <w:rsid w:val="003836F4"/>
    <w:rsid w:val="00383A2C"/>
    <w:rsid w:val="00384567"/>
    <w:rsid w:val="003858CA"/>
    <w:rsid w:val="003869C9"/>
    <w:rsid w:val="00387469"/>
    <w:rsid w:val="00387D5B"/>
    <w:rsid w:val="003923CA"/>
    <w:rsid w:val="003925F0"/>
    <w:rsid w:val="003926E6"/>
    <w:rsid w:val="00393507"/>
    <w:rsid w:val="00393B57"/>
    <w:rsid w:val="00393E4F"/>
    <w:rsid w:val="00393E66"/>
    <w:rsid w:val="00394CFE"/>
    <w:rsid w:val="00395035"/>
    <w:rsid w:val="00395DF7"/>
    <w:rsid w:val="00397986"/>
    <w:rsid w:val="003A345B"/>
    <w:rsid w:val="003A35B5"/>
    <w:rsid w:val="003A3E74"/>
    <w:rsid w:val="003A43D2"/>
    <w:rsid w:val="003A490F"/>
    <w:rsid w:val="003A520E"/>
    <w:rsid w:val="003A6A38"/>
    <w:rsid w:val="003A78B3"/>
    <w:rsid w:val="003A7E0C"/>
    <w:rsid w:val="003B49D3"/>
    <w:rsid w:val="003B4CC5"/>
    <w:rsid w:val="003B4D53"/>
    <w:rsid w:val="003B6BB3"/>
    <w:rsid w:val="003B745D"/>
    <w:rsid w:val="003B7925"/>
    <w:rsid w:val="003B7B0E"/>
    <w:rsid w:val="003B7BBD"/>
    <w:rsid w:val="003C06C4"/>
    <w:rsid w:val="003C1358"/>
    <w:rsid w:val="003C1B55"/>
    <w:rsid w:val="003C32DC"/>
    <w:rsid w:val="003C45E1"/>
    <w:rsid w:val="003C4987"/>
    <w:rsid w:val="003C5A75"/>
    <w:rsid w:val="003C5F5B"/>
    <w:rsid w:val="003C7CBB"/>
    <w:rsid w:val="003D0A45"/>
    <w:rsid w:val="003D20C3"/>
    <w:rsid w:val="003D295E"/>
    <w:rsid w:val="003D3159"/>
    <w:rsid w:val="003D3250"/>
    <w:rsid w:val="003D35B9"/>
    <w:rsid w:val="003D4A60"/>
    <w:rsid w:val="003D5CA0"/>
    <w:rsid w:val="003D5D57"/>
    <w:rsid w:val="003D63DE"/>
    <w:rsid w:val="003D7FE9"/>
    <w:rsid w:val="003E0421"/>
    <w:rsid w:val="003E2C1E"/>
    <w:rsid w:val="003E3189"/>
    <w:rsid w:val="003E62BA"/>
    <w:rsid w:val="003F0486"/>
    <w:rsid w:val="003F10F3"/>
    <w:rsid w:val="003F4473"/>
    <w:rsid w:val="003F59AE"/>
    <w:rsid w:val="003F5C07"/>
    <w:rsid w:val="003F7055"/>
    <w:rsid w:val="0040289F"/>
    <w:rsid w:val="0040361A"/>
    <w:rsid w:val="00404F0E"/>
    <w:rsid w:val="0040543C"/>
    <w:rsid w:val="00405EC5"/>
    <w:rsid w:val="0040614E"/>
    <w:rsid w:val="00410372"/>
    <w:rsid w:val="00413542"/>
    <w:rsid w:val="004164A0"/>
    <w:rsid w:val="00417376"/>
    <w:rsid w:val="00417606"/>
    <w:rsid w:val="0042071D"/>
    <w:rsid w:val="004225BD"/>
    <w:rsid w:val="0042300C"/>
    <w:rsid w:val="00425BD3"/>
    <w:rsid w:val="00427782"/>
    <w:rsid w:val="004307F8"/>
    <w:rsid w:val="0043114F"/>
    <w:rsid w:val="00431DCC"/>
    <w:rsid w:val="00432809"/>
    <w:rsid w:val="00433C03"/>
    <w:rsid w:val="004340C4"/>
    <w:rsid w:val="00435A24"/>
    <w:rsid w:val="00436AA2"/>
    <w:rsid w:val="0043739B"/>
    <w:rsid w:val="00437D5E"/>
    <w:rsid w:val="0044060C"/>
    <w:rsid w:val="00440FE7"/>
    <w:rsid w:val="00441CF5"/>
    <w:rsid w:val="00443253"/>
    <w:rsid w:val="00443872"/>
    <w:rsid w:val="00444215"/>
    <w:rsid w:val="004445CA"/>
    <w:rsid w:val="00445E51"/>
    <w:rsid w:val="004468AD"/>
    <w:rsid w:val="0044702D"/>
    <w:rsid w:val="00450787"/>
    <w:rsid w:val="00450ADC"/>
    <w:rsid w:val="00451013"/>
    <w:rsid w:val="00451D34"/>
    <w:rsid w:val="00451D6C"/>
    <w:rsid w:val="00451DD7"/>
    <w:rsid w:val="00452384"/>
    <w:rsid w:val="00452514"/>
    <w:rsid w:val="00452F1B"/>
    <w:rsid w:val="00454B47"/>
    <w:rsid w:val="004554C2"/>
    <w:rsid w:val="00455BCA"/>
    <w:rsid w:val="0045727E"/>
    <w:rsid w:val="00460F85"/>
    <w:rsid w:val="00462230"/>
    <w:rsid w:val="00463231"/>
    <w:rsid w:val="00464589"/>
    <w:rsid w:val="004654A8"/>
    <w:rsid w:val="004655D3"/>
    <w:rsid w:val="00467329"/>
    <w:rsid w:val="00467A68"/>
    <w:rsid w:val="00471429"/>
    <w:rsid w:val="00471E2E"/>
    <w:rsid w:val="00472B33"/>
    <w:rsid w:val="004736E0"/>
    <w:rsid w:val="00473EC1"/>
    <w:rsid w:val="00474232"/>
    <w:rsid w:val="00474518"/>
    <w:rsid w:val="00474D74"/>
    <w:rsid w:val="0047652F"/>
    <w:rsid w:val="00477648"/>
    <w:rsid w:val="004779B8"/>
    <w:rsid w:val="00480C88"/>
    <w:rsid w:val="00482698"/>
    <w:rsid w:val="0048421C"/>
    <w:rsid w:val="004848EA"/>
    <w:rsid w:val="00484B4C"/>
    <w:rsid w:val="00484FD3"/>
    <w:rsid w:val="00485BF2"/>
    <w:rsid w:val="00485DBA"/>
    <w:rsid w:val="00485F0D"/>
    <w:rsid w:val="0049028D"/>
    <w:rsid w:val="004930BE"/>
    <w:rsid w:val="004947AA"/>
    <w:rsid w:val="0049572F"/>
    <w:rsid w:val="00495936"/>
    <w:rsid w:val="00495C37"/>
    <w:rsid w:val="00495FDF"/>
    <w:rsid w:val="00495FE5"/>
    <w:rsid w:val="00497751"/>
    <w:rsid w:val="004A150F"/>
    <w:rsid w:val="004A20EF"/>
    <w:rsid w:val="004A2BAE"/>
    <w:rsid w:val="004A2F31"/>
    <w:rsid w:val="004A5F30"/>
    <w:rsid w:val="004B032A"/>
    <w:rsid w:val="004B0AC2"/>
    <w:rsid w:val="004B2710"/>
    <w:rsid w:val="004B2EB6"/>
    <w:rsid w:val="004B37A8"/>
    <w:rsid w:val="004B3E0F"/>
    <w:rsid w:val="004B4080"/>
    <w:rsid w:val="004B5056"/>
    <w:rsid w:val="004B639E"/>
    <w:rsid w:val="004B6B1A"/>
    <w:rsid w:val="004B75E1"/>
    <w:rsid w:val="004B78DA"/>
    <w:rsid w:val="004C068C"/>
    <w:rsid w:val="004C2C89"/>
    <w:rsid w:val="004C4980"/>
    <w:rsid w:val="004C6C83"/>
    <w:rsid w:val="004C7189"/>
    <w:rsid w:val="004D24C2"/>
    <w:rsid w:val="004D3223"/>
    <w:rsid w:val="004D4267"/>
    <w:rsid w:val="004D5F6E"/>
    <w:rsid w:val="004D70CD"/>
    <w:rsid w:val="004E0F54"/>
    <w:rsid w:val="004E207A"/>
    <w:rsid w:val="004E21B4"/>
    <w:rsid w:val="004E34EB"/>
    <w:rsid w:val="004E3B19"/>
    <w:rsid w:val="004E4542"/>
    <w:rsid w:val="004E5515"/>
    <w:rsid w:val="004F042D"/>
    <w:rsid w:val="004F0AF9"/>
    <w:rsid w:val="004F3807"/>
    <w:rsid w:val="004F4A05"/>
    <w:rsid w:val="004F4E21"/>
    <w:rsid w:val="004F5318"/>
    <w:rsid w:val="004F6596"/>
    <w:rsid w:val="004F6E1F"/>
    <w:rsid w:val="004F72EB"/>
    <w:rsid w:val="004F7488"/>
    <w:rsid w:val="004F7D75"/>
    <w:rsid w:val="00502422"/>
    <w:rsid w:val="005028FF"/>
    <w:rsid w:val="00502FCD"/>
    <w:rsid w:val="0050489A"/>
    <w:rsid w:val="00505503"/>
    <w:rsid w:val="005065A4"/>
    <w:rsid w:val="005079AF"/>
    <w:rsid w:val="00511A85"/>
    <w:rsid w:val="0051360B"/>
    <w:rsid w:val="00516036"/>
    <w:rsid w:val="005163BA"/>
    <w:rsid w:val="00520572"/>
    <w:rsid w:val="00520DA6"/>
    <w:rsid w:val="00520E6B"/>
    <w:rsid w:val="0052113E"/>
    <w:rsid w:val="00521A8C"/>
    <w:rsid w:val="00522CB0"/>
    <w:rsid w:val="00523F52"/>
    <w:rsid w:val="00524C5D"/>
    <w:rsid w:val="00525204"/>
    <w:rsid w:val="005276F8"/>
    <w:rsid w:val="005279B6"/>
    <w:rsid w:val="00527E5A"/>
    <w:rsid w:val="00530D39"/>
    <w:rsid w:val="00533104"/>
    <w:rsid w:val="00533361"/>
    <w:rsid w:val="00534006"/>
    <w:rsid w:val="005350E1"/>
    <w:rsid w:val="00535C20"/>
    <w:rsid w:val="005364FE"/>
    <w:rsid w:val="0053701E"/>
    <w:rsid w:val="00540400"/>
    <w:rsid w:val="00540607"/>
    <w:rsid w:val="005411B1"/>
    <w:rsid w:val="005447D1"/>
    <w:rsid w:val="00545F5A"/>
    <w:rsid w:val="005506EE"/>
    <w:rsid w:val="00550F47"/>
    <w:rsid w:val="00551E56"/>
    <w:rsid w:val="00553120"/>
    <w:rsid w:val="00554430"/>
    <w:rsid w:val="00555E3E"/>
    <w:rsid w:val="00555F84"/>
    <w:rsid w:val="00556C31"/>
    <w:rsid w:val="0056082F"/>
    <w:rsid w:val="0056206C"/>
    <w:rsid w:val="00562BF3"/>
    <w:rsid w:val="0056435E"/>
    <w:rsid w:val="005651D1"/>
    <w:rsid w:val="00565460"/>
    <w:rsid w:val="00565492"/>
    <w:rsid w:val="00565596"/>
    <w:rsid w:val="00565CD4"/>
    <w:rsid w:val="00566482"/>
    <w:rsid w:val="005669E4"/>
    <w:rsid w:val="00567A5A"/>
    <w:rsid w:val="00571CD8"/>
    <w:rsid w:val="00571E63"/>
    <w:rsid w:val="00572C99"/>
    <w:rsid w:val="00573ED3"/>
    <w:rsid w:val="00573F7A"/>
    <w:rsid w:val="0057407C"/>
    <w:rsid w:val="00575DAA"/>
    <w:rsid w:val="005768FA"/>
    <w:rsid w:val="00576A75"/>
    <w:rsid w:val="005778B0"/>
    <w:rsid w:val="00577A0E"/>
    <w:rsid w:val="0058020A"/>
    <w:rsid w:val="0058078F"/>
    <w:rsid w:val="005810E0"/>
    <w:rsid w:val="00582663"/>
    <w:rsid w:val="005839E0"/>
    <w:rsid w:val="00583A98"/>
    <w:rsid w:val="0058410D"/>
    <w:rsid w:val="00585B00"/>
    <w:rsid w:val="005868EF"/>
    <w:rsid w:val="00586BE9"/>
    <w:rsid w:val="0059005E"/>
    <w:rsid w:val="0059087B"/>
    <w:rsid w:val="005946D8"/>
    <w:rsid w:val="00594B3F"/>
    <w:rsid w:val="00594FC8"/>
    <w:rsid w:val="00597E9B"/>
    <w:rsid w:val="00597FF3"/>
    <w:rsid w:val="005A096A"/>
    <w:rsid w:val="005A1089"/>
    <w:rsid w:val="005A1E0A"/>
    <w:rsid w:val="005A260B"/>
    <w:rsid w:val="005A3220"/>
    <w:rsid w:val="005A400A"/>
    <w:rsid w:val="005A4AA6"/>
    <w:rsid w:val="005A4C02"/>
    <w:rsid w:val="005A58E8"/>
    <w:rsid w:val="005A59C3"/>
    <w:rsid w:val="005B02D6"/>
    <w:rsid w:val="005B153D"/>
    <w:rsid w:val="005B15D5"/>
    <w:rsid w:val="005B1BA6"/>
    <w:rsid w:val="005B6191"/>
    <w:rsid w:val="005B6FB5"/>
    <w:rsid w:val="005B79D9"/>
    <w:rsid w:val="005B7EAE"/>
    <w:rsid w:val="005C02E9"/>
    <w:rsid w:val="005C1D3B"/>
    <w:rsid w:val="005C4A45"/>
    <w:rsid w:val="005C514A"/>
    <w:rsid w:val="005C553A"/>
    <w:rsid w:val="005C57F8"/>
    <w:rsid w:val="005C6457"/>
    <w:rsid w:val="005C7BE9"/>
    <w:rsid w:val="005D02C1"/>
    <w:rsid w:val="005D17B8"/>
    <w:rsid w:val="005D2EFF"/>
    <w:rsid w:val="005D3B1D"/>
    <w:rsid w:val="005D6E47"/>
    <w:rsid w:val="005D71C1"/>
    <w:rsid w:val="005E04EC"/>
    <w:rsid w:val="005E09C0"/>
    <w:rsid w:val="005E23D7"/>
    <w:rsid w:val="005E2AE8"/>
    <w:rsid w:val="005E4FBC"/>
    <w:rsid w:val="005E5ECE"/>
    <w:rsid w:val="005E6582"/>
    <w:rsid w:val="005E6E8E"/>
    <w:rsid w:val="005E7E76"/>
    <w:rsid w:val="005E7F7F"/>
    <w:rsid w:val="005F001E"/>
    <w:rsid w:val="005F1DA5"/>
    <w:rsid w:val="005F1E05"/>
    <w:rsid w:val="005F2964"/>
    <w:rsid w:val="005F2A7B"/>
    <w:rsid w:val="005F40AC"/>
    <w:rsid w:val="005F5310"/>
    <w:rsid w:val="005F61D8"/>
    <w:rsid w:val="006004C6"/>
    <w:rsid w:val="00601691"/>
    <w:rsid w:val="00601922"/>
    <w:rsid w:val="0060227B"/>
    <w:rsid w:val="0060235F"/>
    <w:rsid w:val="00604A58"/>
    <w:rsid w:val="00605516"/>
    <w:rsid w:val="0060553F"/>
    <w:rsid w:val="0060741B"/>
    <w:rsid w:val="006079BC"/>
    <w:rsid w:val="006149D6"/>
    <w:rsid w:val="00615A5C"/>
    <w:rsid w:val="00617F20"/>
    <w:rsid w:val="00622228"/>
    <w:rsid w:val="00624403"/>
    <w:rsid w:val="0062608C"/>
    <w:rsid w:val="00627633"/>
    <w:rsid w:val="00630E7D"/>
    <w:rsid w:val="006315A6"/>
    <w:rsid w:val="00631674"/>
    <w:rsid w:val="006320B7"/>
    <w:rsid w:val="0063276B"/>
    <w:rsid w:val="00632F55"/>
    <w:rsid w:val="00633198"/>
    <w:rsid w:val="006336E5"/>
    <w:rsid w:val="00634DF6"/>
    <w:rsid w:val="00635042"/>
    <w:rsid w:val="00635D28"/>
    <w:rsid w:val="006368F9"/>
    <w:rsid w:val="00636BE6"/>
    <w:rsid w:val="00637C2D"/>
    <w:rsid w:val="00641641"/>
    <w:rsid w:val="0064193B"/>
    <w:rsid w:val="006431E6"/>
    <w:rsid w:val="00644373"/>
    <w:rsid w:val="00644ED7"/>
    <w:rsid w:val="00644FC9"/>
    <w:rsid w:val="00645593"/>
    <w:rsid w:val="006470B0"/>
    <w:rsid w:val="00647537"/>
    <w:rsid w:val="00650C13"/>
    <w:rsid w:val="00650E09"/>
    <w:rsid w:val="00652950"/>
    <w:rsid w:val="00654662"/>
    <w:rsid w:val="006548D4"/>
    <w:rsid w:val="006563CF"/>
    <w:rsid w:val="00656EDB"/>
    <w:rsid w:val="00657108"/>
    <w:rsid w:val="0066110F"/>
    <w:rsid w:val="00661222"/>
    <w:rsid w:val="0066261D"/>
    <w:rsid w:val="00663E9D"/>
    <w:rsid w:val="006651E9"/>
    <w:rsid w:val="006736E6"/>
    <w:rsid w:val="006742AF"/>
    <w:rsid w:val="00674ECE"/>
    <w:rsid w:val="00675C25"/>
    <w:rsid w:val="0067669A"/>
    <w:rsid w:val="0068384D"/>
    <w:rsid w:val="00685843"/>
    <w:rsid w:val="00685E0F"/>
    <w:rsid w:val="00685E15"/>
    <w:rsid w:val="006862C7"/>
    <w:rsid w:val="0068698A"/>
    <w:rsid w:val="00687A12"/>
    <w:rsid w:val="00690E19"/>
    <w:rsid w:val="00691769"/>
    <w:rsid w:val="00691BFD"/>
    <w:rsid w:val="00692A80"/>
    <w:rsid w:val="006934F6"/>
    <w:rsid w:val="00693C43"/>
    <w:rsid w:val="006942B0"/>
    <w:rsid w:val="00694853"/>
    <w:rsid w:val="00694D90"/>
    <w:rsid w:val="006958A3"/>
    <w:rsid w:val="00696659"/>
    <w:rsid w:val="00696B6B"/>
    <w:rsid w:val="00697225"/>
    <w:rsid w:val="0069759F"/>
    <w:rsid w:val="006A2BEE"/>
    <w:rsid w:val="006A2C1D"/>
    <w:rsid w:val="006A3404"/>
    <w:rsid w:val="006A5355"/>
    <w:rsid w:val="006A7960"/>
    <w:rsid w:val="006B2E16"/>
    <w:rsid w:val="006B32B8"/>
    <w:rsid w:val="006B3615"/>
    <w:rsid w:val="006B36B0"/>
    <w:rsid w:val="006B410C"/>
    <w:rsid w:val="006B42EF"/>
    <w:rsid w:val="006B6D83"/>
    <w:rsid w:val="006C0E24"/>
    <w:rsid w:val="006C11A6"/>
    <w:rsid w:val="006C18A9"/>
    <w:rsid w:val="006C253B"/>
    <w:rsid w:val="006C2556"/>
    <w:rsid w:val="006C2DE2"/>
    <w:rsid w:val="006C3633"/>
    <w:rsid w:val="006C4124"/>
    <w:rsid w:val="006C7415"/>
    <w:rsid w:val="006C7AF4"/>
    <w:rsid w:val="006D162F"/>
    <w:rsid w:val="006D16E9"/>
    <w:rsid w:val="006D1A11"/>
    <w:rsid w:val="006E0264"/>
    <w:rsid w:val="006E0538"/>
    <w:rsid w:val="006E0C38"/>
    <w:rsid w:val="006E0CB7"/>
    <w:rsid w:val="006E1A1F"/>
    <w:rsid w:val="006E2EFC"/>
    <w:rsid w:val="006E3DB9"/>
    <w:rsid w:val="006E4780"/>
    <w:rsid w:val="006E57BF"/>
    <w:rsid w:val="006E5AD2"/>
    <w:rsid w:val="006E5EB9"/>
    <w:rsid w:val="006E7121"/>
    <w:rsid w:val="006E7D79"/>
    <w:rsid w:val="006F0A85"/>
    <w:rsid w:val="006F0E2B"/>
    <w:rsid w:val="006F1047"/>
    <w:rsid w:val="006F1C8D"/>
    <w:rsid w:val="006F3CDF"/>
    <w:rsid w:val="006F3D15"/>
    <w:rsid w:val="006F4BA2"/>
    <w:rsid w:val="006F4D4B"/>
    <w:rsid w:val="006F60DA"/>
    <w:rsid w:val="006F6EEF"/>
    <w:rsid w:val="006F7A22"/>
    <w:rsid w:val="00700781"/>
    <w:rsid w:val="00702399"/>
    <w:rsid w:val="0070293E"/>
    <w:rsid w:val="00703643"/>
    <w:rsid w:val="007041F3"/>
    <w:rsid w:val="0070422E"/>
    <w:rsid w:val="00705DDD"/>
    <w:rsid w:val="00705DFA"/>
    <w:rsid w:val="007063BB"/>
    <w:rsid w:val="00706CA3"/>
    <w:rsid w:val="0070760B"/>
    <w:rsid w:val="00710B3D"/>
    <w:rsid w:val="00711497"/>
    <w:rsid w:val="0071186F"/>
    <w:rsid w:val="0071276C"/>
    <w:rsid w:val="00713C13"/>
    <w:rsid w:val="00715CCD"/>
    <w:rsid w:val="007200E8"/>
    <w:rsid w:val="007212BE"/>
    <w:rsid w:val="00723B80"/>
    <w:rsid w:val="007254E2"/>
    <w:rsid w:val="00726B9C"/>
    <w:rsid w:val="00726E08"/>
    <w:rsid w:val="00726EC8"/>
    <w:rsid w:val="00727035"/>
    <w:rsid w:val="00731EC4"/>
    <w:rsid w:val="00732D1B"/>
    <w:rsid w:val="0073676D"/>
    <w:rsid w:val="00736A48"/>
    <w:rsid w:val="0073746B"/>
    <w:rsid w:val="00737970"/>
    <w:rsid w:val="00740EE1"/>
    <w:rsid w:val="00740F3D"/>
    <w:rsid w:val="007415E1"/>
    <w:rsid w:val="007423A8"/>
    <w:rsid w:val="00742D66"/>
    <w:rsid w:val="007437EE"/>
    <w:rsid w:val="00746A18"/>
    <w:rsid w:val="00747259"/>
    <w:rsid w:val="0075231C"/>
    <w:rsid w:val="007523DB"/>
    <w:rsid w:val="00754CFB"/>
    <w:rsid w:val="007559BA"/>
    <w:rsid w:val="007574CF"/>
    <w:rsid w:val="00760030"/>
    <w:rsid w:val="00760168"/>
    <w:rsid w:val="00760833"/>
    <w:rsid w:val="00761025"/>
    <w:rsid w:val="0076137C"/>
    <w:rsid w:val="00761E71"/>
    <w:rsid w:val="007621D2"/>
    <w:rsid w:val="00763FE5"/>
    <w:rsid w:val="007642EF"/>
    <w:rsid w:val="00764468"/>
    <w:rsid w:val="007651FD"/>
    <w:rsid w:val="0076613B"/>
    <w:rsid w:val="00766CED"/>
    <w:rsid w:val="00773F54"/>
    <w:rsid w:val="00775EF0"/>
    <w:rsid w:val="0077667D"/>
    <w:rsid w:val="00777BCE"/>
    <w:rsid w:val="00780368"/>
    <w:rsid w:val="00780CBC"/>
    <w:rsid w:val="00783A75"/>
    <w:rsid w:val="0078436A"/>
    <w:rsid w:val="007866AC"/>
    <w:rsid w:val="00787B01"/>
    <w:rsid w:val="0079133C"/>
    <w:rsid w:val="00791798"/>
    <w:rsid w:val="00792154"/>
    <w:rsid w:val="00794476"/>
    <w:rsid w:val="00794AC0"/>
    <w:rsid w:val="0079507A"/>
    <w:rsid w:val="00795D8C"/>
    <w:rsid w:val="007964BB"/>
    <w:rsid w:val="007A4334"/>
    <w:rsid w:val="007A488D"/>
    <w:rsid w:val="007A4B04"/>
    <w:rsid w:val="007A6739"/>
    <w:rsid w:val="007A6BE9"/>
    <w:rsid w:val="007A7969"/>
    <w:rsid w:val="007B0E1B"/>
    <w:rsid w:val="007B11CE"/>
    <w:rsid w:val="007B1D29"/>
    <w:rsid w:val="007B1E4C"/>
    <w:rsid w:val="007B5A83"/>
    <w:rsid w:val="007C1070"/>
    <w:rsid w:val="007C28D6"/>
    <w:rsid w:val="007C2959"/>
    <w:rsid w:val="007C3DB4"/>
    <w:rsid w:val="007C4EAC"/>
    <w:rsid w:val="007C5C5A"/>
    <w:rsid w:val="007C7966"/>
    <w:rsid w:val="007D0CC3"/>
    <w:rsid w:val="007D0F2B"/>
    <w:rsid w:val="007D157F"/>
    <w:rsid w:val="007D24D4"/>
    <w:rsid w:val="007D3B9A"/>
    <w:rsid w:val="007D47A8"/>
    <w:rsid w:val="007D5279"/>
    <w:rsid w:val="007D5F23"/>
    <w:rsid w:val="007D7D5C"/>
    <w:rsid w:val="007E1376"/>
    <w:rsid w:val="007E1ED1"/>
    <w:rsid w:val="007E2BAD"/>
    <w:rsid w:val="007E2DD5"/>
    <w:rsid w:val="007E500E"/>
    <w:rsid w:val="007E5B2C"/>
    <w:rsid w:val="007F0E6F"/>
    <w:rsid w:val="007F0EA6"/>
    <w:rsid w:val="007F14B4"/>
    <w:rsid w:val="007F23D0"/>
    <w:rsid w:val="007F48EC"/>
    <w:rsid w:val="007F5626"/>
    <w:rsid w:val="007F5D88"/>
    <w:rsid w:val="007F61A9"/>
    <w:rsid w:val="007F6B02"/>
    <w:rsid w:val="0080202E"/>
    <w:rsid w:val="008021EE"/>
    <w:rsid w:val="008028A7"/>
    <w:rsid w:val="008029C6"/>
    <w:rsid w:val="008039F9"/>
    <w:rsid w:val="00803DFC"/>
    <w:rsid w:val="008042BC"/>
    <w:rsid w:val="008056A8"/>
    <w:rsid w:val="0080599C"/>
    <w:rsid w:val="0080677A"/>
    <w:rsid w:val="00807C4C"/>
    <w:rsid w:val="00812AF0"/>
    <w:rsid w:val="008134B0"/>
    <w:rsid w:val="0081547D"/>
    <w:rsid w:val="00815DDD"/>
    <w:rsid w:val="00816B0A"/>
    <w:rsid w:val="0082015A"/>
    <w:rsid w:val="00821F30"/>
    <w:rsid w:val="008226A8"/>
    <w:rsid w:val="00822CAF"/>
    <w:rsid w:val="0082309E"/>
    <w:rsid w:val="00825815"/>
    <w:rsid w:val="00825CA0"/>
    <w:rsid w:val="008267A8"/>
    <w:rsid w:val="00826A6F"/>
    <w:rsid w:val="008313A2"/>
    <w:rsid w:val="00831402"/>
    <w:rsid w:val="00832FA9"/>
    <w:rsid w:val="00832FC0"/>
    <w:rsid w:val="00834C98"/>
    <w:rsid w:val="00836ACC"/>
    <w:rsid w:val="0083749B"/>
    <w:rsid w:val="00840730"/>
    <w:rsid w:val="008407FE"/>
    <w:rsid w:val="00840D6B"/>
    <w:rsid w:val="00841A36"/>
    <w:rsid w:val="00842002"/>
    <w:rsid w:val="008440D5"/>
    <w:rsid w:val="00845853"/>
    <w:rsid w:val="00845F77"/>
    <w:rsid w:val="008472EC"/>
    <w:rsid w:val="00847A70"/>
    <w:rsid w:val="0085005B"/>
    <w:rsid w:val="0085183B"/>
    <w:rsid w:val="00851C74"/>
    <w:rsid w:val="00852E58"/>
    <w:rsid w:val="00853CB5"/>
    <w:rsid w:val="00854465"/>
    <w:rsid w:val="00855D92"/>
    <w:rsid w:val="00862089"/>
    <w:rsid w:val="0086235E"/>
    <w:rsid w:val="00862BD5"/>
    <w:rsid w:val="00863948"/>
    <w:rsid w:val="00863D1D"/>
    <w:rsid w:val="00863F67"/>
    <w:rsid w:val="00864DAD"/>
    <w:rsid w:val="00865534"/>
    <w:rsid w:val="00865822"/>
    <w:rsid w:val="00867518"/>
    <w:rsid w:val="00870429"/>
    <w:rsid w:val="00870574"/>
    <w:rsid w:val="00871C14"/>
    <w:rsid w:val="0087398B"/>
    <w:rsid w:val="00873DD6"/>
    <w:rsid w:val="008754C4"/>
    <w:rsid w:val="008757CC"/>
    <w:rsid w:val="00876184"/>
    <w:rsid w:val="00877AFA"/>
    <w:rsid w:val="0088023E"/>
    <w:rsid w:val="00880A58"/>
    <w:rsid w:val="0088679E"/>
    <w:rsid w:val="00886B73"/>
    <w:rsid w:val="008906B1"/>
    <w:rsid w:val="00892EE6"/>
    <w:rsid w:val="00893538"/>
    <w:rsid w:val="00894D6E"/>
    <w:rsid w:val="00895A58"/>
    <w:rsid w:val="008971B8"/>
    <w:rsid w:val="008974AF"/>
    <w:rsid w:val="008A0C16"/>
    <w:rsid w:val="008A1F06"/>
    <w:rsid w:val="008A2D7F"/>
    <w:rsid w:val="008A408A"/>
    <w:rsid w:val="008A47D1"/>
    <w:rsid w:val="008B024F"/>
    <w:rsid w:val="008B1B5E"/>
    <w:rsid w:val="008B27F5"/>
    <w:rsid w:val="008B2895"/>
    <w:rsid w:val="008B2A68"/>
    <w:rsid w:val="008B4EEF"/>
    <w:rsid w:val="008B599A"/>
    <w:rsid w:val="008B70D9"/>
    <w:rsid w:val="008B7372"/>
    <w:rsid w:val="008B76CA"/>
    <w:rsid w:val="008C07FE"/>
    <w:rsid w:val="008C0908"/>
    <w:rsid w:val="008C159D"/>
    <w:rsid w:val="008C194E"/>
    <w:rsid w:val="008C2D40"/>
    <w:rsid w:val="008D1405"/>
    <w:rsid w:val="008D1E15"/>
    <w:rsid w:val="008D208C"/>
    <w:rsid w:val="008D3270"/>
    <w:rsid w:val="008D5BBC"/>
    <w:rsid w:val="008D6879"/>
    <w:rsid w:val="008D7553"/>
    <w:rsid w:val="008E072F"/>
    <w:rsid w:val="008E1888"/>
    <w:rsid w:val="008E220E"/>
    <w:rsid w:val="008E38C3"/>
    <w:rsid w:val="008E6970"/>
    <w:rsid w:val="008E781A"/>
    <w:rsid w:val="008E7DA8"/>
    <w:rsid w:val="008F0D45"/>
    <w:rsid w:val="008F17AC"/>
    <w:rsid w:val="008F2004"/>
    <w:rsid w:val="008F5D6A"/>
    <w:rsid w:val="008F6EF5"/>
    <w:rsid w:val="008F7832"/>
    <w:rsid w:val="00901DED"/>
    <w:rsid w:val="009021C6"/>
    <w:rsid w:val="009026E2"/>
    <w:rsid w:val="009035D9"/>
    <w:rsid w:val="00903CFC"/>
    <w:rsid w:val="009054FF"/>
    <w:rsid w:val="00906D20"/>
    <w:rsid w:val="00906FCE"/>
    <w:rsid w:val="009072C3"/>
    <w:rsid w:val="00910A2E"/>
    <w:rsid w:val="00913498"/>
    <w:rsid w:val="00913C7C"/>
    <w:rsid w:val="0091447B"/>
    <w:rsid w:val="00914999"/>
    <w:rsid w:val="00914B9B"/>
    <w:rsid w:val="009159EC"/>
    <w:rsid w:val="00916228"/>
    <w:rsid w:val="00916D74"/>
    <w:rsid w:val="0091736E"/>
    <w:rsid w:val="00917FC9"/>
    <w:rsid w:val="00917FFA"/>
    <w:rsid w:val="009201EE"/>
    <w:rsid w:val="00921332"/>
    <w:rsid w:val="00921570"/>
    <w:rsid w:val="00921666"/>
    <w:rsid w:val="009226D7"/>
    <w:rsid w:val="00925EBD"/>
    <w:rsid w:val="00926C37"/>
    <w:rsid w:val="00926D05"/>
    <w:rsid w:val="009278CF"/>
    <w:rsid w:val="0093094B"/>
    <w:rsid w:val="00930D2E"/>
    <w:rsid w:val="00930F1E"/>
    <w:rsid w:val="00932C1A"/>
    <w:rsid w:val="0093314B"/>
    <w:rsid w:val="009333AD"/>
    <w:rsid w:val="00933D28"/>
    <w:rsid w:val="00934958"/>
    <w:rsid w:val="00941220"/>
    <w:rsid w:val="0094130F"/>
    <w:rsid w:val="00944AB0"/>
    <w:rsid w:val="009465AA"/>
    <w:rsid w:val="0094707B"/>
    <w:rsid w:val="0094775E"/>
    <w:rsid w:val="009511AE"/>
    <w:rsid w:val="0095151A"/>
    <w:rsid w:val="00953CFB"/>
    <w:rsid w:val="00953FB7"/>
    <w:rsid w:val="00955234"/>
    <w:rsid w:val="009552C8"/>
    <w:rsid w:val="0095574B"/>
    <w:rsid w:val="009559C0"/>
    <w:rsid w:val="00955F88"/>
    <w:rsid w:val="00957FCA"/>
    <w:rsid w:val="0096148D"/>
    <w:rsid w:val="00961DD4"/>
    <w:rsid w:val="00962FA0"/>
    <w:rsid w:val="00963177"/>
    <w:rsid w:val="009701DD"/>
    <w:rsid w:val="00971C0D"/>
    <w:rsid w:val="0097312C"/>
    <w:rsid w:val="00975CBE"/>
    <w:rsid w:val="00976C80"/>
    <w:rsid w:val="00977BF3"/>
    <w:rsid w:val="00977E3B"/>
    <w:rsid w:val="00980208"/>
    <w:rsid w:val="009802D5"/>
    <w:rsid w:val="009823EF"/>
    <w:rsid w:val="00983954"/>
    <w:rsid w:val="009851F3"/>
    <w:rsid w:val="00986764"/>
    <w:rsid w:val="009867A0"/>
    <w:rsid w:val="00986A14"/>
    <w:rsid w:val="00986F16"/>
    <w:rsid w:val="00987FA5"/>
    <w:rsid w:val="009902E6"/>
    <w:rsid w:val="00990B14"/>
    <w:rsid w:val="009956E1"/>
    <w:rsid w:val="0099713D"/>
    <w:rsid w:val="009A0831"/>
    <w:rsid w:val="009A0AED"/>
    <w:rsid w:val="009A2082"/>
    <w:rsid w:val="009A2F58"/>
    <w:rsid w:val="009A4894"/>
    <w:rsid w:val="009A4F05"/>
    <w:rsid w:val="009A58B1"/>
    <w:rsid w:val="009A6AD0"/>
    <w:rsid w:val="009A6AE9"/>
    <w:rsid w:val="009A7555"/>
    <w:rsid w:val="009B0C43"/>
    <w:rsid w:val="009B0FE7"/>
    <w:rsid w:val="009B1E82"/>
    <w:rsid w:val="009B1FA5"/>
    <w:rsid w:val="009B5443"/>
    <w:rsid w:val="009B621D"/>
    <w:rsid w:val="009B678D"/>
    <w:rsid w:val="009B794C"/>
    <w:rsid w:val="009C0683"/>
    <w:rsid w:val="009C0985"/>
    <w:rsid w:val="009C0FED"/>
    <w:rsid w:val="009C24B0"/>
    <w:rsid w:val="009C35DD"/>
    <w:rsid w:val="009C41AD"/>
    <w:rsid w:val="009C532C"/>
    <w:rsid w:val="009C5FD2"/>
    <w:rsid w:val="009C7523"/>
    <w:rsid w:val="009D011D"/>
    <w:rsid w:val="009D0AB7"/>
    <w:rsid w:val="009D0B50"/>
    <w:rsid w:val="009D1529"/>
    <w:rsid w:val="009D2085"/>
    <w:rsid w:val="009D25E1"/>
    <w:rsid w:val="009D336C"/>
    <w:rsid w:val="009D3CC5"/>
    <w:rsid w:val="009D3E41"/>
    <w:rsid w:val="009D430E"/>
    <w:rsid w:val="009D6046"/>
    <w:rsid w:val="009D613F"/>
    <w:rsid w:val="009D6D4E"/>
    <w:rsid w:val="009E00AB"/>
    <w:rsid w:val="009E3F1F"/>
    <w:rsid w:val="009E4FCA"/>
    <w:rsid w:val="009E5138"/>
    <w:rsid w:val="009E5B0F"/>
    <w:rsid w:val="009F00C0"/>
    <w:rsid w:val="009F0B3C"/>
    <w:rsid w:val="009F143C"/>
    <w:rsid w:val="009F3B7E"/>
    <w:rsid w:val="009F4AD3"/>
    <w:rsid w:val="009F5C2E"/>
    <w:rsid w:val="009F5F1F"/>
    <w:rsid w:val="009F61D8"/>
    <w:rsid w:val="009F668A"/>
    <w:rsid w:val="009F7425"/>
    <w:rsid w:val="00A00B67"/>
    <w:rsid w:val="00A0195B"/>
    <w:rsid w:val="00A0261E"/>
    <w:rsid w:val="00A02843"/>
    <w:rsid w:val="00A02D5A"/>
    <w:rsid w:val="00A03070"/>
    <w:rsid w:val="00A052F7"/>
    <w:rsid w:val="00A07662"/>
    <w:rsid w:val="00A109C7"/>
    <w:rsid w:val="00A114A4"/>
    <w:rsid w:val="00A126C6"/>
    <w:rsid w:val="00A12AF1"/>
    <w:rsid w:val="00A142D9"/>
    <w:rsid w:val="00A1508C"/>
    <w:rsid w:val="00A1773C"/>
    <w:rsid w:val="00A20009"/>
    <w:rsid w:val="00A20164"/>
    <w:rsid w:val="00A21866"/>
    <w:rsid w:val="00A22D0F"/>
    <w:rsid w:val="00A24E25"/>
    <w:rsid w:val="00A25A1B"/>
    <w:rsid w:val="00A25B23"/>
    <w:rsid w:val="00A25F78"/>
    <w:rsid w:val="00A26481"/>
    <w:rsid w:val="00A27D66"/>
    <w:rsid w:val="00A30ECC"/>
    <w:rsid w:val="00A31234"/>
    <w:rsid w:val="00A33D71"/>
    <w:rsid w:val="00A35C77"/>
    <w:rsid w:val="00A3789D"/>
    <w:rsid w:val="00A41B67"/>
    <w:rsid w:val="00A427B0"/>
    <w:rsid w:val="00A438C7"/>
    <w:rsid w:val="00A450BD"/>
    <w:rsid w:val="00A4535E"/>
    <w:rsid w:val="00A4575B"/>
    <w:rsid w:val="00A52C34"/>
    <w:rsid w:val="00A5317A"/>
    <w:rsid w:val="00A54EBB"/>
    <w:rsid w:val="00A55576"/>
    <w:rsid w:val="00A556D3"/>
    <w:rsid w:val="00A559B2"/>
    <w:rsid w:val="00A561BC"/>
    <w:rsid w:val="00A57FA1"/>
    <w:rsid w:val="00A603ED"/>
    <w:rsid w:val="00A6067D"/>
    <w:rsid w:val="00A615A6"/>
    <w:rsid w:val="00A6166D"/>
    <w:rsid w:val="00A61B55"/>
    <w:rsid w:val="00A625EE"/>
    <w:rsid w:val="00A6314F"/>
    <w:rsid w:val="00A63D00"/>
    <w:rsid w:val="00A650F7"/>
    <w:rsid w:val="00A6575D"/>
    <w:rsid w:val="00A66039"/>
    <w:rsid w:val="00A66DE2"/>
    <w:rsid w:val="00A67FED"/>
    <w:rsid w:val="00A728CA"/>
    <w:rsid w:val="00A72D54"/>
    <w:rsid w:val="00A7328A"/>
    <w:rsid w:val="00A73BD7"/>
    <w:rsid w:val="00A73F7C"/>
    <w:rsid w:val="00A7788E"/>
    <w:rsid w:val="00A81128"/>
    <w:rsid w:val="00A82BB0"/>
    <w:rsid w:val="00A83893"/>
    <w:rsid w:val="00A83F15"/>
    <w:rsid w:val="00A86BB7"/>
    <w:rsid w:val="00A8737D"/>
    <w:rsid w:val="00A87954"/>
    <w:rsid w:val="00A911FC"/>
    <w:rsid w:val="00A91C65"/>
    <w:rsid w:val="00A925F0"/>
    <w:rsid w:val="00A94E28"/>
    <w:rsid w:val="00AA0169"/>
    <w:rsid w:val="00AA0280"/>
    <w:rsid w:val="00AA0451"/>
    <w:rsid w:val="00AA0934"/>
    <w:rsid w:val="00AA0DAD"/>
    <w:rsid w:val="00AA1345"/>
    <w:rsid w:val="00AA13AA"/>
    <w:rsid w:val="00AA29ED"/>
    <w:rsid w:val="00AA2E79"/>
    <w:rsid w:val="00AA43E5"/>
    <w:rsid w:val="00AA6603"/>
    <w:rsid w:val="00AA6DF8"/>
    <w:rsid w:val="00AB0238"/>
    <w:rsid w:val="00AB09FC"/>
    <w:rsid w:val="00AB1796"/>
    <w:rsid w:val="00AB2798"/>
    <w:rsid w:val="00AB2A33"/>
    <w:rsid w:val="00AB4F24"/>
    <w:rsid w:val="00AB7255"/>
    <w:rsid w:val="00AB7BE3"/>
    <w:rsid w:val="00AC01DD"/>
    <w:rsid w:val="00AC0338"/>
    <w:rsid w:val="00AC188B"/>
    <w:rsid w:val="00AC390D"/>
    <w:rsid w:val="00AC39CE"/>
    <w:rsid w:val="00AC52C3"/>
    <w:rsid w:val="00AC629C"/>
    <w:rsid w:val="00AC7B9B"/>
    <w:rsid w:val="00AD01FE"/>
    <w:rsid w:val="00AD3426"/>
    <w:rsid w:val="00AD59AA"/>
    <w:rsid w:val="00AD5F93"/>
    <w:rsid w:val="00AE1550"/>
    <w:rsid w:val="00AE1C6A"/>
    <w:rsid w:val="00AE3015"/>
    <w:rsid w:val="00AE3723"/>
    <w:rsid w:val="00AE4097"/>
    <w:rsid w:val="00AE4672"/>
    <w:rsid w:val="00AE4B6A"/>
    <w:rsid w:val="00AE4FB9"/>
    <w:rsid w:val="00AE5E74"/>
    <w:rsid w:val="00AF0F23"/>
    <w:rsid w:val="00AF29C0"/>
    <w:rsid w:val="00AF3726"/>
    <w:rsid w:val="00AF44FC"/>
    <w:rsid w:val="00AF470C"/>
    <w:rsid w:val="00AF5CF3"/>
    <w:rsid w:val="00AF60B9"/>
    <w:rsid w:val="00AF6AC0"/>
    <w:rsid w:val="00AF6B2B"/>
    <w:rsid w:val="00B0062F"/>
    <w:rsid w:val="00B02064"/>
    <w:rsid w:val="00B02FC4"/>
    <w:rsid w:val="00B033A7"/>
    <w:rsid w:val="00B0364E"/>
    <w:rsid w:val="00B03B56"/>
    <w:rsid w:val="00B07081"/>
    <w:rsid w:val="00B072AB"/>
    <w:rsid w:val="00B10503"/>
    <w:rsid w:val="00B12D05"/>
    <w:rsid w:val="00B13C50"/>
    <w:rsid w:val="00B14511"/>
    <w:rsid w:val="00B168BB"/>
    <w:rsid w:val="00B16E69"/>
    <w:rsid w:val="00B17230"/>
    <w:rsid w:val="00B172E1"/>
    <w:rsid w:val="00B1785B"/>
    <w:rsid w:val="00B17935"/>
    <w:rsid w:val="00B17F0F"/>
    <w:rsid w:val="00B21E7A"/>
    <w:rsid w:val="00B2271A"/>
    <w:rsid w:val="00B26122"/>
    <w:rsid w:val="00B273D9"/>
    <w:rsid w:val="00B27AD0"/>
    <w:rsid w:val="00B3014F"/>
    <w:rsid w:val="00B30EAA"/>
    <w:rsid w:val="00B312B7"/>
    <w:rsid w:val="00B32319"/>
    <w:rsid w:val="00B34EB3"/>
    <w:rsid w:val="00B35290"/>
    <w:rsid w:val="00B36F72"/>
    <w:rsid w:val="00B36FBC"/>
    <w:rsid w:val="00B37210"/>
    <w:rsid w:val="00B37E75"/>
    <w:rsid w:val="00B41699"/>
    <w:rsid w:val="00B4393E"/>
    <w:rsid w:val="00B43C6F"/>
    <w:rsid w:val="00B4738D"/>
    <w:rsid w:val="00B50C32"/>
    <w:rsid w:val="00B510DB"/>
    <w:rsid w:val="00B52141"/>
    <w:rsid w:val="00B53F9C"/>
    <w:rsid w:val="00B54AFC"/>
    <w:rsid w:val="00B55249"/>
    <w:rsid w:val="00B5628A"/>
    <w:rsid w:val="00B57A13"/>
    <w:rsid w:val="00B57D13"/>
    <w:rsid w:val="00B61D65"/>
    <w:rsid w:val="00B6204C"/>
    <w:rsid w:val="00B625B5"/>
    <w:rsid w:val="00B66948"/>
    <w:rsid w:val="00B67030"/>
    <w:rsid w:val="00B67327"/>
    <w:rsid w:val="00B70379"/>
    <w:rsid w:val="00B70F5F"/>
    <w:rsid w:val="00B714D6"/>
    <w:rsid w:val="00B717B5"/>
    <w:rsid w:val="00B72AF2"/>
    <w:rsid w:val="00B72D6A"/>
    <w:rsid w:val="00B731F9"/>
    <w:rsid w:val="00B74555"/>
    <w:rsid w:val="00B74ACC"/>
    <w:rsid w:val="00B76839"/>
    <w:rsid w:val="00B76E4A"/>
    <w:rsid w:val="00B76EEE"/>
    <w:rsid w:val="00B802F5"/>
    <w:rsid w:val="00B81DD4"/>
    <w:rsid w:val="00B82E73"/>
    <w:rsid w:val="00B837B5"/>
    <w:rsid w:val="00B85CA3"/>
    <w:rsid w:val="00B871EB"/>
    <w:rsid w:val="00B87A10"/>
    <w:rsid w:val="00B90BCD"/>
    <w:rsid w:val="00B91E02"/>
    <w:rsid w:val="00B922E5"/>
    <w:rsid w:val="00B922FD"/>
    <w:rsid w:val="00B93739"/>
    <w:rsid w:val="00B93EE7"/>
    <w:rsid w:val="00B93EF9"/>
    <w:rsid w:val="00B94573"/>
    <w:rsid w:val="00B947A4"/>
    <w:rsid w:val="00B95301"/>
    <w:rsid w:val="00B97D0E"/>
    <w:rsid w:val="00B97D5C"/>
    <w:rsid w:val="00BA2924"/>
    <w:rsid w:val="00BA3783"/>
    <w:rsid w:val="00BA4D1C"/>
    <w:rsid w:val="00BA60A6"/>
    <w:rsid w:val="00BA64A7"/>
    <w:rsid w:val="00BA6804"/>
    <w:rsid w:val="00BB1E9D"/>
    <w:rsid w:val="00BB1FD9"/>
    <w:rsid w:val="00BB2620"/>
    <w:rsid w:val="00BB4A7C"/>
    <w:rsid w:val="00BB4B80"/>
    <w:rsid w:val="00BB67A9"/>
    <w:rsid w:val="00BB6BCA"/>
    <w:rsid w:val="00BC007E"/>
    <w:rsid w:val="00BC0557"/>
    <w:rsid w:val="00BC2738"/>
    <w:rsid w:val="00BC3C24"/>
    <w:rsid w:val="00BC4576"/>
    <w:rsid w:val="00BC5A7F"/>
    <w:rsid w:val="00BC645B"/>
    <w:rsid w:val="00BD1963"/>
    <w:rsid w:val="00BD34B9"/>
    <w:rsid w:val="00BD3AC2"/>
    <w:rsid w:val="00BD42A7"/>
    <w:rsid w:val="00BD4436"/>
    <w:rsid w:val="00BD72FA"/>
    <w:rsid w:val="00BD7566"/>
    <w:rsid w:val="00BD79A2"/>
    <w:rsid w:val="00BE1120"/>
    <w:rsid w:val="00BE2191"/>
    <w:rsid w:val="00BE24D8"/>
    <w:rsid w:val="00BE29B8"/>
    <w:rsid w:val="00BE2B4C"/>
    <w:rsid w:val="00BE48E1"/>
    <w:rsid w:val="00BE493E"/>
    <w:rsid w:val="00BE656E"/>
    <w:rsid w:val="00BE696C"/>
    <w:rsid w:val="00BF12A6"/>
    <w:rsid w:val="00BF19BA"/>
    <w:rsid w:val="00BF1E62"/>
    <w:rsid w:val="00BF31D3"/>
    <w:rsid w:val="00BF3FA1"/>
    <w:rsid w:val="00BF5016"/>
    <w:rsid w:val="00BF63E7"/>
    <w:rsid w:val="00BF7ED7"/>
    <w:rsid w:val="00C00489"/>
    <w:rsid w:val="00C00565"/>
    <w:rsid w:val="00C04A96"/>
    <w:rsid w:val="00C0505B"/>
    <w:rsid w:val="00C05680"/>
    <w:rsid w:val="00C0618D"/>
    <w:rsid w:val="00C07EF4"/>
    <w:rsid w:val="00C12265"/>
    <w:rsid w:val="00C14F11"/>
    <w:rsid w:val="00C15338"/>
    <w:rsid w:val="00C1599E"/>
    <w:rsid w:val="00C16832"/>
    <w:rsid w:val="00C20E33"/>
    <w:rsid w:val="00C21D23"/>
    <w:rsid w:val="00C227D5"/>
    <w:rsid w:val="00C228D1"/>
    <w:rsid w:val="00C22B3E"/>
    <w:rsid w:val="00C239F4"/>
    <w:rsid w:val="00C2499A"/>
    <w:rsid w:val="00C25CEA"/>
    <w:rsid w:val="00C26662"/>
    <w:rsid w:val="00C27927"/>
    <w:rsid w:val="00C27C21"/>
    <w:rsid w:val="00C30E05"/>
    <w:rsid w:val="00C31AF9"/>
    <w:rsid w:val="00C350C0"/>
    <w:rsid w:val="00C365CC"/>
    <w:rsid w:val="00C37F7B"/>
    <w:rsid w:val="00C408C5"/>
    <w:rsid w:val="00C40FF2"/>
    <w:rsid w:val="00C424C7"/>
    <w:rsid w:val="00C43453"/>
    <w:rsid w:val="00C43BCD"/>
    <w:rsid w:val="00C45D1D"/>
    <w:rsid w:val="00C45F0D"/>
    <w:rsid w:val="00C46566"/>
    <w:rsid w:val="00C4656B"/>
    <w:rsid w:val="00C467C7"/>
    <w:rsid w:val="00C4760A"/>
    <w:rsid w:val="00C47787"/>
    <w:rsid w:val="00C4787B"/>
    <w:rsid w:val="00C47C73"/>
    <w:rsid w:val="00C51F97"/>
    <w:rsid w:val="00C522FE"/>
    <w:rsid w:val="00C52E59"/>
    <w:rsid w:val="00C539ED"/>
    <w:rsid w:val="00C54724"/>
    <w:rsid w:val="00C552B3"/>
    <w:rsid w:val="00C552DA"/>
    <w:rsid w:val="00C57D85"/>
    <w:rsid w:val="00C600F0"/>
    <w:rsid w:val="00C602D3"/>
    <w:rsid w:val="00C605BC"/>
    <w:rsid w:val="00C6088A"/>
    <w:rsid w:val="00C63C86"/>
    <w:rsid w:val="00C656B2"/>
    <w:rsid w:val="00C6585E"/>
    <w:rsid w:val="00C66240"/>
    <w:rsid w:val="00C6690A"/>
    <w:rsid w:val="00C669FD"/>
    <w:rsid w:val="00C67388"/>
    <w:rsid w:val="00C677A0"/>
    <w:rsid w:val="00C702E1"/>
    <w:rsid w:val="00C704F0"/>
    <w:rsid w:val="00C7185A"/>
    <w:rsid w:val="00C7204B"/>
    <w:rsid w:val="00C730CE"/>
    <w:rsid w:val="00C7320E"/>
    <w:rsid w:val="00C743C0"/>
    <w:rsid w:val="00C746FC"/>
    <w:rsid w:val="00C74BA2"/>
    <w:rsid w:val="00C75A4F"/>
    <w:rsid w:val="00C80285"/>
    <w:rsid w:val="00C80BC3"/>
    <w:rsid w:val="00C8256A"/>
    <w:rsid w:val="00C845C0"/>
    <w:rsid w:val="00C8484A"/>
    <w:rsid w:val="00C849CC"/>
    <w:rsid w:val="00C849F3"/>
    <w:rsid w:val="00C861D4"/>
    <w:rsid w:val="00C87398"/>
    <w:rsid w:val="00C87DC9"/>
    <w:rsid w:val="00C92FF1"/>
    <w:rsid w:val="00C93BF0"/>
    <w:rsid w:val="00C95600"/>
    <w:rsid w:val="00C9573F"/>
    <w:rsid w:val="00C9735F"/>
    <w:rsid w:val="00C978CC"/>
    <w:rsid w:val="00C979C7"/>
    <w:rsid w:val="00CA0323"/>
    <w:rsid w:val="00CA097E"/>
    <w:rsid w:val="00CA3DD1"/>
    <w:rsid w:val="00CA601C"/>
    <w:rsid w:val="00CA6F18"/>
    <w:rsid w:val="00CB0C5E"/>
    <w:rsid w:val="00CB1585"/>
    <w:rsid w:val="00CB18F5"/>
    <w:rsid w:val="00CB25EB"/>
    <w:rsid w:val="00CB33F6"/>
    <w:rsid w:val="00CB4090"/>
    <w:rsid w:val="00CB53F8"/>
    <w:rsid w:val="00CB5BF8"/>
    <w:rsid w:val="00CB5C4D"/>
    <w:rsid w:val="00CB7D0E"/>
    <w:rsid w:val="00CC0222"/>
    <w:rsid w:val="00CC17C9"/>
    <w:rsid w:val="00CC2748"/>
    <w:rsid w:val="00CC334E"/>
    <w:rsid w:val="00CC7542"/>
    <w:rsid w:val="00CD21E0"/>
    <w:rsid w:val="00CD4194"/>
    <w:rsid w:val="00CD4DD7"/>
    <w:rsid w:val="00CD7F95"/>
    <w:rsid w:val="00CE288F"/>
    <w:rsid w:val="00CE3B13"/>
    <w:rsid w:val="00CE5D07"/>
    <w:rsid w:val="00CF0CB1"/>
    <w:rsid w:val="00CF224F"/>
    <w:rsid w:val="00CF32EE"/>
    <w:rsid w:val="00CF40F7"/>
    <w:rsid w:val="00CF44BE"/>
    <w:rsid w:val="00CF4BC7"/>
    <w:rsid w:val="00CF4D96"/>
    <w:rsid w:val="00CF59F6"/>
    <w:rsid w:val="00CF6EA1"/>
    <w:rsid w:val="00CF6FE5"/>
    <w:rsid w:val="00CF7D5C"/>
    <w:rsid w:val="00D00123"/>
    <w:rsid w:val="00D0177C"/>
    <w:rsid w:val="00D01924"/>
    <w:rsid w:val="00D03739"/>
    <w:rsid w:val="00D0485C"/>
    <w:rsid w:val="00D054AB"/>
    <w:rsid w:val="00D0576A"/>
    <w:rsid w:val="00D07363"/>
    <w:rsid w:val="00D1014B"/>
    <w:rsid w:val="00D101C6"/>
    <w:rsid w:val="00D1259A"/>
    <w:rsid w:val="00D129DF"/>
    <w:rsid w:val="00D13888"/>
    <w:rsid w:val="00D13A1E"/>
    <w:rsid w:val="00D1543F"/>
    <w:rsid w:val="00D163E2"/>
    <w:rsid w:val="00D20FAD"/>
    <w:rsid w:val="00D228CD"/>
    <w:rsid w:val="00D23C1B"/>
    <w:rsid w:val="00D24E7D"/>
    <w:rsid w:val="00D267BF"/>
    <w:rsid w:val="00D26B74"/>
    <w:rsid w:val="00D26C11"/>
    <w:rsid w:val="00D30417"/>
    <w:rsid w:val="00D311EE"/>
    <w:rsid w:val="00D32AD4"/>
    <w:rsid w:val="00D331ED"/>
    <w:rsid w:val="00D3733E"/>
    <w:rsid w:val="00D400A7"/>
    <w:rsid w:val="00D41145"/>
    <w:rsid w:val="00D423A7"/>
    <w:rsid w:val="00D428E9"/>
    <w:rsid w:val="00D43202"/>
    <w:rsid w:val="00D43392"/>
    <w:rsid w:val="00D436FA"/>
    <w:rsid w:val="00D43BCB"/>
    <w:rsid w:val="00D4611E"/>
    <w:rsid w:val="00D52894"/>
    <w:rsid w:val="00D52D25"/>
    <w:rsid w:val="00D5326F"/>
    <w:rsid w:val="00D53672"/>
    <w:rsid w:val="00D55374"/>
    <w:rsid w:val="00D57138"/>
    <w:rsid w:val="00D60919"/>
    <w:rsid w:val="00D60DA6"/>
    <w:rsid w:val="00D61D98"/>
    <w:rsid w:val="00D63535"/>
    <w:rsid w:val="00D635A6"/>
    <w:rsid w:val="00D6466F"/>
    <w:rsid w:val="00D66BE9"/>
    <w:rsid w:val="00D66F6C"/>
    <w:rsid w:val="00D670E9"/>
    <w:rsid w:val="00D72184"/>
    <w:rsid w:val="00D72CAE"/>
    <w:rsid w:val="00D73A0D"/>
    <w:rsid w:val="00D758E2"/>
    <w:rsid w:val="00D76ACE"/>
    <w:rsid w:val="00D76E90"/>
    <w:rsid w:val="00D7746E"/>
    <w:rsid w:val="00D810D4"/>
    <w:rsid w:val="00D81B7F"/>
    <w:rsid w:val="00D843D6"/>
    <w:rsid w:val="00D84A58"/>
    <w:rsid w:val="00D85546"/>
    <w:rsid w:val="00D85951"/>
    <w:rsid w:val="00D86C93"/>
    <w:rsid w:val="00D86CE1"/>
    <w:rsid w:val="00D90C22"/>
    <w:rsid w:val="00D91EB9"/>
    <w:rsid w:val="00D93688"/>
    <w:rsid w:val="00D93B86"/>
    <w:rsid w:val="00D94948"/>
    <w:rsid w:val="00D94FEC"/>
    <w:rsid w:val="00D9519C"/>
    <w:rsid w:val="00D9567F"/>
    <w:rsid w:val="00D9687F"/>
    <w:rsid w:val="00D97362"/>
    <w:rsid w:val="00D9787A"/>
    <w:rsid w:val="00DA0205"/>
    <w:rsid w:val="00DA31F5"/>
    <w:rsid w:val="00DA5163"/>
    <w:rsid w:val="00DA5A16"/>
    <w:rsid w:val="00DA65B8"/>
    <w:rsid w:val="00DB0151"/>
    <w:rsid w:val="00DB02AD"/>
    <w:rsid w:val="00DB0E3A"/>
    <w:rsid w:val="00DB1429"/>
    <w:rsid w:val="00DB60DE"/>
    <w:rsid w:val="00DB7871"/>
    <w:rsid w:val="00DB7876"/>
    <w:rsid w:val="00DC0DF9"/>
    <w:rsid w:val="00DC12E9"/>
    <w:rsid w:val="00DC2714"/>
    <w:rsid w:val="00DC55AD"/>
    <w:rsid w:val="00DC6912"/>
    <w:rsid w:val="00DC6EAE"/>
    <w:rsid w:val="00DC72D5"/>
    <w:rsid w:val="00DD082C"/>
    <w:rsid w:val="00DD1B08"/>
    <w:rsid w:val="00DD2856"/>
    <w:rsid w:val="00DD3012"/>
    <w:rsid w:val="00DD3732"/>
    <w:rsid w:val="00DD46A5"/>
    <w:rsid w:val="00DD5B99"/>
    <w:rsid w:val="00DD6517"/>
    <w:rsid w:val="00DE1684"/>
    <w:rsid w:val="00DE4513"/>
    <w:rsid w:val="00DF1A64"/>
    <w:rsid w:val="00DF21D3"/>
    <w:rsid w:val="00DF2904"/>
    <w:rsid w:val="00DF3880"/>
    <w:rsid w:val="00DF6319"/>
    <w:rsid w:val="00E000BA"/>
    <w:rsid w:val="00E002CE"/>
    <w:rsid w:val="00E055EA"/>
    <w:rsid w:val="00E06656"/>
    <w:rsid w:val="00E06AC0"/>
    <w:rsid w:val="00E076C2"/>
    <w:rsid w:val="00E108C8"/>
    <w:rsid w:val="00E10F7C"/>
    <w:rsid w:val="00E110EA"/>
    <w:rsid w:val="00E116EE"/>
    <w:rsid w:val="00E139E1"/>
    <w:rsid w:val="00E14079"/>
    <w:rsid w:val="00E141A8"/>
    <w:rsid w:val="00E145BD"/>
    <w:rsid w:val="00E14FB4"/>
    <w:rsid w:val="00E16211"/>
    <w:rsid w:val="00E1650B"/>
    <w:rsid w:val="00E179C5"/>
    <w:rsid w:val="00E17FAF"/>
    <w:rsid w:val="00E21587"/>
    <w:rsid w:val="00E217F2"/>
    <w:rsid w:val="00E21C98"/>
    <w:rsid w:val="00E22338"/>
    <w:rsid w:val="00E23815"/>
    <w:rsid w:val="00E23953"/>
    <w:rsid w:val="00E25D5D"/>
    <w:rsid w:val="00E2794E"/>
    <w:rsid w:val="00E27DD1"/>
    <w:rsid w:val="00E311E1"/>
    <w:rsid w:val="00E31B4B"/>
    <w:rsid w:val="00E31FBC"/>
    <w:rsid w:val="00E3224F"/>
    <w:rsid w:val="00E32972"/>
    <w:rsid w:val="00E35C61"/>
    <w:rsid w:val="00E35FD2"/>
    <w:rsid w:val="00E363B8"/>
    <w:rsid w:val="00E36C26"/>
    <w:rsid w:val="00E375BB"/>
    <w:rsid w:val="00E37A22"/>
    <w:rsid w:val="00E40E8A"/>
    <w:rsid w:val="00E40FF2"/>
    <w:rsid w:val="00E42953"/>
    <w:rsid w:val="00E42AFB"/>
    <w:rsid w:val="00E43F41"/>
    <w:rsid w:val="00E45A42"/>
    <w:rsid w:val="00E45F04"/>
    <w:rsid w:val="00E4664E"/>
    <w:rsid w:val="00E46D70"/>
    <w:rsid w:val="00E46D9F"/>
    <w:rsid w:val="00E50FE2"/>
    <w:rsid w:val="00E51953"/>
    <w:rsid w:val="00E52010"/>
    <w:rsid w:val="00E524F3"/>
    <w:rsid w:val="00E53081"/>
    <w:rsid w:val="00E5345E"/>
    <w:rsid w:val="00E54285"/>
    <w:rsid w:val="00E56E22"/>
    <w:rsid w:val="00E60000"/>
    <w:rsid w:val="00E631F4"/>
    <w:rsid w:val="00E6378F"/>
    <w:rsid w:val="00E654AA"/>
    <w:rsid w:val="00E65692"/>
    <w:rsid w:val="00E65EAA"/>
    <w:rsid w:val="00E65EF5"/>
    <w:rsid w:val="00E70188"/>
    <w:rsid w:val="00E71B90"/>
    <w:rsid w:val="00E738B2"/>
    <w:rsid w:val="00E739D3"/>
    <w:rsid w:val="00E741EF"/>
    <w:rsid w:val="00E75254"/>
    <w:rsid w:val="00E75613"/>
    <w:rsid w:val="00E7627C"/>
    <w:rsid w:val="00E7779A"/>
    <w:rsid w:val="00E77DF3"/>
    <w:rsid w:val="00E812B2"/>
    <w:rsid w:val="00E823EC"/>
    <w:rsid w:val="00E82EED"/>
    <w:rsid w:val="00E83620"/>
    <w:rsid w:val="00E83CF2"/>
    <w:rsid w:val="00E852D8"/>
    <w:rsid w:val="00E85794"/>
    <w:rsid w:val="00E85ACB"/>
    <w:rsid w:val="00E8634E"/>
    <w:rsid w:val="00E87F64"/>
    <w:rsid w:val="00E93970"/>
    <w:rsid w:val="00E97DFF"/>
    <w:rsid w:val="00EA1515"/>
    <w:rsid w:val="00EA2273"/>
    <w:rsid w:val="00EA246C"/>
    <w:rsid w:val="00EA2761"/>
    <w:rsid w:val="00EA2916"/>
    <w:rsid w:val="00EA296C"/>
    <w:rsid w:val="00EA29AD"/>
    <w:rsid w:val="00EA381D"/>
    <w:rsid w:val="00EA4C78"/>
    <w:rsid w:val="00EA7AE2"/>
    <w:rsid w:val="00EA7F8A"/>
    <w:rsid w:val="00EB10D2"/>
    <w:rsid w:val="00EB1603"/>
    <w:rsid w:val="00EB4C15"/>
    <w:rsid w:val="00EB6C62"/>
    <w:rsid w:val="00EB6DAC"/>
    <w:rsid w:val="00EB7976"/>
    <w:rsid w:val="00EB7E3B"/>
    <w:rsid w:val="00EC017E"/>
    <w:rsid w:val="00EC0EE7"/>
    <w:rsid w:val="00EC28FD"/>
    <w:rsid w:val="00EC2D02"/>
    <w:rsid w:val="00EC3420"/>
    <w:rsid w:val="00EC4878"/>
    <w:rsid w:val="00EC692B"/>
    <w:rsid w:val="00EC762F"/>
    <w:rsid w:val="00ED09E8"/>
    <w:rsid w:val="00ED197B"/>
    <w:rsid w:val="00ED209E"/>
    <w:rsid w:val="00ED2A26"/>
    <w:rsid w:val="00ED33D6"/>
    <w:rsid w:val="00ED46EC"/>
    <w:rsid w:val="00ED4D2C"/>
    <w:rsid w:val="00ED6DA9"/>
    <w:rsid w:val="00ED7819"/>
    <w:rsid w:val="00EE02E2"/>
    <w:rsid w:val="00EE089E"/>
    <w:rsid w:val="00EE15C7"/>
    <w:rsid w:val="00EE4462"/>
    <w:rsid w:val="00EF252F"/>
    <w:rsid w:val="00EF3871"/>
    <w:rsid w:val="00EF4481"/>
    <w:rsid w:val="00EF5160"/>
    <w:rsid w:val="00EF530B"/>
    <w:rsid w:val="00EF6B4D"/>
    <w:rsid w:val="00EF7A3D"/>
    <w:rsid w:val="00EF7EE2"/>
    <w:rsid w:val="00F018BE"/>
    <w:rsid w:val="00F03AE7"/>
    <w:rsid w:val="00F041CB"/>
    <w:rsid w:val="00F044F5"/>
    <w:rsid w:val="00F06501"/>
    <w:rsid w:val="00F11005"/>
    <w:rsid w:val="00F165C8"/>
    <w:rsid w:val="00F16F2D"/>
    <w:rsid w:val="00F21793"/>
    <w:rsid w:val="00F22345"/>
    <w:rsid w:val="00F23528"/>
    <w:rsid w:val="00F26DB7"/>
    <w:rsid w:val="00F30521"/>
    <w:rsid w:val="00F31EB2"/>
    <w:rsid w:val="00F35199"/>
    <w:rsid w:val="00F35454"/>
    <w:rsid w:val="00F35ABE"/>
    <w:rsid w:val="00F35CE3"/>
    <w:rsid w:val="00F36812"/>
    <w:rsid w:val="00F37840"/>
    <w:rsid w:val="00F37EBD"/>
    <w:rsid w:val="00F40024"/>
    <w:rsid w:val="00F40F67"/>
    <w:rsid w:val="00F43AD1"/>
    <w:rsid w:val="00F44490"/>
    <w:rsid w:val="00F45630"/>
    <w:rsid w:val="00F46682"/>
    <w:rsid w:val="00F46DEF"/>
    <w:rsid w:val="00F4764A"/>
    <w:rsid w:val="00F4783B"/>
    <w:rsid w:val="00F47F2C"/>
    <w:rsid w:val="00F5004C"/>
    <w:rsid w:val="00F500BC"/>
    <w:rsid w:val="00F519FE"/>
    <w:rsid w:val="00F5213C"/>
    <w:rsid w:val="00F529E3"/>
    <w:rsid w:val="00F53D1B"/>
    <w:rsid w:val="00F571B8"/>
    <w:rsid w:val="00F57A6B"/>
    <w:rsid w:val="00F57F70"/>
    <w:rsid w:val="00F61940"/>
    <w:rsid w:val="00F61E22"/>
    <w:rsid w:val="00F623B2"/>
    <w:rsid w:val="00F62F03"/>
    <w:rsid w:val="00F64306"/>
    <w:rsid w:val="00F64F57"/>
    <w:rsid w:val="00F656F3"/>
    <w:rsid w:val="00F65BFF"/>
    <w:rsid w:val="00F717B8"/>
    <w:rsid w:val="00F72004"/>
    <w:rsid w:val="00F726D7"/>
    <w:rsid w:val="00F74BB7"/>
    <w:rsid w:val="00F75B5D"/>
    <w:rsid w:val="00F8173B"/>
    <w:rsid w:val="00F81B49"/>
    <w:rsid w:val="00F8521F"/>
    <w:rsid w:val="00F857D9"/>
    <w:rsid w:val="00F859C7"/>
    <w:rsid w:val="00F85ABB"/>
    <w:rsid w:val="00F900A7"/>
    <w:rsid w:val="00F92D22"/>
    <w:rsid w:val="00F93D6B"/>
    <w:rsid w:val="00F9457B"/>
    <w:rsid w:val="00F94D74"/>
    <w:rsid w:val="00F95DD4"/>
    <w:rsid w:val="00F97DF9"/>
    <w:rsid w:val="00FA0A90"/>
    <w:rsid w:val="00FA204A"/>
    <w:rsid w:val="00FA2199"/>
    <w:rsid w:val="00FA448B"/>
    <w:rsid w:val="00FA45C1"/>
    <w:rsid w:val="00FA4B18"/>
    <w:rsid w:val="00FA4C03"/>
    <w:rsid w:val="00FA4E8C"/>
    <w:rsid w:val="00FB0146"/>
    <w:rsid w:val="00FB0386"/>
    <w:rsid w:val="00FB0CD6"/>
    <w:rsid w:val="00FB2887"/>
    <w:rsid w:val="00FB334C"/>
    <w:rsid w:val="00FB37C0"/>
    <w:rsid w:val="00FB3DF5"/>
    <w:rsid w:val="00FB630C"/>
    <w:rsid w:val="00FB69AF"/>
    <w:rsid w:val="00FB6B39"/>
    <w:rsid w:val="00FB6B7A"/>
    <w:rsid w:val="00FB6CF3"/>
    <w:rsid w:val="00FB7A29"/>
    <w:rsid w:val="00FB7CB2"/>
    <w:rsid w:val="00FC0627"/>
    <w:rsid w:val="00FC0FBE"/>
    <w:rsid w:val="00FC2360"/>
    <w:rsid w:val="00FC3164"/>
    <w:rsid w:val="00FC3AB1"/>
    <w:rsid w:val="00FC4360"/>
    <w:rsid w:val="00FC446E"/>
    <w:rsid w:val="00FC44FE"/>
    <w:rsid w:val="00FC4A69"/>
    <w:rsid w:val="00FC5755"/>
    <w:rsid w:val="00FC57B3"/>
    <w:rsid w:val="00FC5828"/>
    <w:rsid w:val="00FC5AEB"/>
    <w:rsid w:val="00FC5C6A"/>
    <w:rsid w:val="00FD07CD"/>
    <w:rsid w:val="00FD1103"/>
    <w:rsid w:val="00FD2A3C"/>
    <w:rsid w:val="00FD61DC"/>
    <w:rsid w:val="00FE0321"/>
    <w:rsid w:val="00FE0ECC"/>
    <w:rsid w:val="00FE1C06"/>
    <w:rsid w:val="00FE22E6"/>
    <w:rsid w:val="00FE270B"/>
    <w:rsid w:val="00FE4283"/>
    <w:rsid w:val="00FE5551"/>
    <w:rsid w:val="00FE5F4B"/>
    <w:rsid w:val="00FF0ADA"/>
    <w:rsid w:val="00FF0DFE"/>
    <w:rsid w:val="00FF0F49"/>
    <w:rsid w:val="00FF2B86"/>
    <w:rsid w:val="00FF317D"/>
    <w:rsid w:val="00FF3234"/>
    <w:rsid w:val="00FF3F82"/>
    <w:rsid w:val="00FF52F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CC0EF6-577D-4089-B990-97FEBBE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0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10DB"/>
  </w:style>
  <w:style w:type="paragraph" w:styleId="a5">
    <w:name w:val="footer"/>
    <w:basedOn w:val="a"/>
    <w:link w:val="a6"/>
    <w:uiPriority w:val="99"/>
    <w:unhideWhenUsed/>
    <w:rsid w:val="00B510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510DB"/>
  </w:style>
  <w:style w:type="table" w:styleId="a7">
    <w:name w:val="Table Grid"/>
    <w:basedOn w:val="a1"/>
    <w:uiPriority w:val="59"/>
    <w:rsid w:val="00B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">
    <w:name w:val="Recipient"/>
    <w:rsid w:val="00B510DB"/>
    <w:pPr>
      <w:tabs>
        <w:tab w:val="left" w:pos="540"/>
      </w:tabs>
      <w:spacing w:after="0" w:line="288" w:lineRule="auto"/>
    </w:pPr>
    <w:rPr>
      <w:rFonts w:ascii="Hoefler Text" w:eastAsia="ヒラギノ角ゴ Pro W3" w:hAnsi="Hoefler Text" w:cs="Times New Roman"/>
      <w:color w:val="000000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E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A7E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99"/>
    <w:qFormat/>
    <w:rsid w:val="009F5F1F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736E0"/>
    <w:rPr>
      <w:color w:val="0000FF" w:themeColor="hyperlink"/>
      <w:u w:val="single"/>
    </w:rPr>
  </w:style>
  <w:style w:type="paragraph" w:customStyle="1" w:styleId="Default">
    <w:name w:val="Default"/>
    <w:rsid w:val="00FB0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af-ZA"/>
    </w:rPr>
  </w:style>
  <w:style w:type="character" w:styleId="ad">
    <w:name w:val="annotation reference"/>
    <w:basedOn w:val="a0"/>
    <w:uiPriority w:val="99"/>
    <w:semiHidden/>
    <w:unhideWhenUsed/>
    <w:rsid w:val="001209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093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0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09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09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62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5713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7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5713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336B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33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336B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9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D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settings" Target="settings.xml"/><Relationship Id="rId40" Type="http://schemas.openxmlformats.org/officeDocument/2006/relationships/endnotes" Target="endnotes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tyles" Target="styl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numbering" Target="numbering.xm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v@np-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3A95-FB22-4EAE-A664-2A6085A174B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7B5D6C6-7E64-46C5-B4FF-CD47213E194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0A5E0C6-1F2F-4ACC-A8C3-42DB4674124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D982DD6-3366-4721-908E-F3E1C0B2B70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B576D3F-CE4E-48D2-89F9-9565146C3C9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22FDCE4-A4D7-48B9-A1B9-2050BAA722D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A74DBFE-E3C9-4A0C-865E-452424FF3F9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8D7A4B3-8C8B-4D55-BD1D-8D0182BEB47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5F2EBA0-1701-4436-A26A-AC52FE12859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93A3AC8-29C0-4BCE-A2BB-B6C4B828402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4FE72C9-55A2-4D93-AF49-5B084DE7C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34FA3-E0BB-4998-AD76-F4CECC1D34F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BD13B7F-579B-461E-8B88-3F71CC8499C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E880659-A540-49F6-8459-5CF68D25FDD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D56A612-4F52-4E00-BB8A-740DA515973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2DE8710-D90A-4BE6-8CE9-05A64855419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7AFF95C-8469-40C2-AD1E-5EABE53B640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A497A7A-B560-4E21-8EBD-C11F4906CE1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541E3B1-BE0E-4640-B0F7-5ECF4EF3E16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50592E1-67B5-485F-92B3-9B126DB342D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079155F-AAFB-43FF-B6A2-BCA4DB3D976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A8A2B3F-FD1E-40AF-93F8-63DA9E4FBA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1E151-20F9-40F8-ADBE-5E56B4E29BD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92FF3D7-FD6B-4BE4-AD18-718408AC1E9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8133660-644B-42B8-8168-D27929B4F8C1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DD4A325-ABC3-4FFC-AE51-D2AB196DF1D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335A45EC-39D9-4831-A6BC-808EFCF6ECD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0793CFA-8B78-432A-929A-5084C6E25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BCEF9-DDE5-4D37-93CD-289B7DD450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A20BE8-B461-49C7-AEEC-3BBD3E81B2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0737D06-0B97-4FA6-AEC7-75EED2BD7EC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D1D5742-C05D-4FDF-AFB1-45B61C5D1D6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7742266-9C40-43D1-99C0-5551A093776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860C524-0FD5-45BC-B364-58020DF0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3453</Words>
  <Characters>19687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</dc:creator>
  <cp:lastModifiedBy>РК Союз Промышленников</cp:lastModifiedBy>
  <cp:revision>2</cp:revision>
  <cp:lastPrinted>2015-05-29T09:51:00Z</cp:lastPrinted>
  <dcterms:created xsi:type="dcterms:W3CDTF">2015-07-15T08:34:00Z</dcterms:created>
  <dcterms:modified xsi:type="dcterms:W3CDTF">2015-07-15T08:34:00Z</dcterms:modified>
</cp:coreProperties>
</file>