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95" w:rsidRPr="0032527D" w:rsidRDefault="004C63EA" w:rsidP="0032527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32527D">
        <w:rPr>
          <w:b/>
          <w:color w:val="000000"/>
          <w:sz w:val="26"/>
          <w:szCs w:val="26"/>
        </w:rPr>
        <w:t>Резолюция налогового</w:t>
      </w:r>
      <w:r w:rsidR="00B74295" w:rsidRPr="0032527D">
        <w:rPr>
          <w:b/>
          <w:color w:val="000000"/>
          <w:sz w:val="26"/>
          <w:szCs w:val="26"/>
        </w:rPr>
        <w:t xml:space="preserve"> форум</w:t>
      </w:r>
      <w:r w:rsidRPr="0032527D">
        <w:rPr>
          <w:b/>
          <w:color w:val="000000"/>
          <w:sz w:val="26"/>
          <w:szCs w:val="26"/>
        </w:rPr>
        <w:t>а</w:t>
      </w:r>
      <w:r w:rsidR="00B74295" w:rsidRPr="0032527D">
        <w:rPr>
          <w:b/>
          <w:color w:val="000000"/>
          <w:sz w:val="26"/>
          <w:szCs w:val="26"/>
        </w:rPr>
        <w:t xml:space="preserve"> «Фискальная система как элемент инвестиционного климата или источник бюджетных средств: </w:t>
      </w:r>
      <w:r w:rsidR="00DC3F56" w:rsidRPr="0032527D">
        <w:rPr>
          <w:b/>
          <w:color w:val="000000"/>
          <w:sz w:val="26"/>
          <w:szCs w:val="26"/>
        </w:rPr>
        <w:t>диалог Правительства и бизнеса»</w:t>
      </w:r>
      <w:r w:rsidR="00B74295" w:rsidRPr="0032527D">
        <w:rPr>
          <w:b/>
          <w:color w:val="000000"/>
          <w:sz w:val="26"/>
          <w:szCs w:val="26"/>
        </w:rPr>
        <w:t xml:space="preserve"> </w:t>
      </w:r>
      <w:r w:rsidR="00DC3F56" w:rsidRPr="0032527D">
        <w:rPr>
          <w:b/>
          <w:color w:val="000000"/>
          <w:sz w:val="26"/>
          <w:szCs w:val="26"/>
        </w:rPr>
        <w:t>(</w:t>
      </w:r>
      <w:r w:rsidR="00B74295" w:rsidRPr="0032527D">
        <w:rPr>
          <w:b/>
          <w:color w:val="000000"/>
          <w:sz w:val="26"/>
          <w:szCs w:val="26"/>
        </w:rPr>
        <w:t>5 февраля  2018 г.</w:t>
      </w:r>
      <w:r w:rsidR="00DC3F56" w:rsidRPr="0032527D">
        <w:rPr>
          <w:b/>
          <w:color w:val="000000"/>
          <w:sz w:val="26"/>
          <w:szCs w:val="26"/>
        </w:rPr>
        <w:t>)</w:t>
      </w:r>
    </w:p>
    <w:p w:rsidR="00B74295" w:rsidRPr="0032527D" w:rsidRDefault="00B74295" w:rsidP="0032527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127233" w:rsidRPr="0032527D" w:rsidRDefault="00127233" w:rsidP="0032527D">
      <w:pPr>
        <w:pStyle w:val="a3"/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 xml:space="preserve">Налоговая система является важным инструментом регулирования инвестиционной активности. Установление моратория на изменение ставок и конструкцию основных налогов, а также на введение новых налоговых и неналоговых платежей, создание или, в ряде случаев, корректировка налоговых стимулов для долгосрочных инвестиций </w:t>
      </w:r>
      <w:r w:rsidR="006C0BF2" w:rsidRPr="0032527D">
        <w:rPr>
          <w:sz w:val="26"/>
          <w:szCs w:val="26"/>
        </w:rPr>
        <w:t>создадут условия для инвестиций</w:t>
      </w:r>
      <w:r w:rsidRPr="0032527D">
        <w:rPr>
          <w:sz w:val="26"/>
          <w:szCs w:val="26"/>
        </w:rPr>
        <w:t xml:space="preserve"> и экономический рост</w:t>
      </w:r>
      <w:r w:rsidR="006C0BF2" w:rsidRPr="0032527D">
        <w:rPr>
          <w:sz w:val="26"/>
          <w:szCs w:val="26"/>
        </w:rPr>
        <w:t>а</w:t>
      </w:r>
      <w:r w:rsidRPr="0032527D">
        <w:rPr>
          <w:sz w:val="26"/>
          <w:szCs w:val="26"/>
        </w:rPr>
        <w:t xml:space="preserve">. </w:t>
      </w:r>
    </w:p>
    <w:p w:rsidR="006531AA" w:rsidRPr="0032527D" w:rsidRDefault="006531AA" w:rsidP="0032527D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Актуализированная аналитическая оценка фискальной нагрузки в российской экономике показала, что такие факторы, как ежегодное повышение ставок акцизов, рост предельной базы страховых взносов, упразднение ряда налоговых льгот и увеличение числа фискальных платежей привели повышению налоговой нагрузки:</w:t>
      </w:r>
      <w:r w:rsidR="00451B33" w:rsidRPr="0032527D">
        <w:rPr>
          <w:sz w:val="26"/>
          <w:szCs w:val="26"/>
        </w:rPr>
        <w:t xml:space="preserve"> с 22,3% в 2013 году до 23,9</w:t>
      </w:r>
      <w:r w:rsidRPr="0032527D">
        <w:rPr>
          <w:sz w:val="26"/>
          <w:szCs w:val="26"/>
        </w:rPr>
        <w:t>% в 2016 г. Из всех видов экономической деятельности наиболее сильная динамика оказались в обрабатывающих произ</w:t>
      </w:r>
      <w:r w:rsidR="00451B33" w:rsidRPr="0032527D">
        <w:rPr>
          <w:sz w:val="26"/>
          <w:szCs w:val="26"/>
        </w:rPr>
        <w:t>водствах и составила рост с 33,5% в 2014 до 36,7</w:t>
      </w:r>
      <w:r w:rsidR="0032527D">
        <w:rPr>
          <w:sz w:val="26"/>
          <w:szCs w:val="26"/>
        </w:rPr>
        <w:t xml:space="preserve">% в 2016 </w:t>
      </w:r>
      <w:r w:rsidRPr="0032527D">
        <w:rPr>
          <w:sz w:val="26"/>
          <w:szCs w:val="26"/>
        </w:rPr>
        <w:t>г</w:t>
      </w:r>
      <w:r w:rsidR="0032527D">
        <w:rPr>
          <w:sz w:val="26"/>
          <w:szCs w:val="26"/>
        </w:rPr>
        <w:t>.</w:t>
      </w:r>
    </w:p>
    <w:p w:rsidR="000A2902" w:rsidRPr="0032527D" w:rsidRDefault="000A2902" w:rsidP="0032527D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 xml:space="preserve">Основными факторами </w:t>
      </w:r>
      <w:r w:rsidR="001826F8" w:rsidRPr="0032527D">
        <w:rPr>
          <w:sz w:val="26"/>
          <w:szCs w:val="26"/>
        </w:rPr>
        <w:t>сохранения</w:t>
      </w:r>
      <w:r w:rsidRPr="0032527D">
        <w:rPr>
          <w:sz w:val="26"/>
          <w:szCs w:val="26"/>
        </w:rPr>
        <w:t xml:space="preserve"> указанной негативной тенденции</w:t>
      </w:r>
      <w:r w:rsidR="001826F8" w:rsidRPr="0032527D">
        <w:rPr>
          <w:sz w:val="26"/>
          <w:szCs w:val="26"/>
        </w:rPr>
        <w:t xml:space="preserve"> в ближайшие годы является:</w:t>
      </w:r>
    </w:p>
    <w:p w:rsidR="00300685" w:rsidRPr="0032527D" w:rsidRDefault="00300685" w:rsidP="0032527D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признание объектом налогообложения движимого имущества, принятого на учет с 2013 года и дальнейшая передача с 2018 г</w:t>
      </w:r>
      <w:r w:rsidR="0032527D">
        <w:rPr>
          <w:sz w:val="26"/>
          <w:szCs w:val="26"/>
        </w:rPr>
        <w:t>.</w:t>
      </w:r>
      <w:r w:rsidRPr="0032527D">
        <w:rPr>
          <w:sz w:val="26"/>
          <w:szCs w:val="26"/>
        </w:rPr>
        <w:t xml:space="preserve"> права установления льготы по налогу на имущество организаций для движимого имущества на региональный уровень. В условиях передачи 1 процента по налогу на прибыль организаций с регионального на федеральный уровень, а также ужесточения правил предоставления дотаций из федерального бюджета, большинство регионов не смогут сохранить льготу для движимого имущества. Оцениваемое увеличение налоговой нагрузки – более 110 млрд. руб. По состоянию на конец 2017 г</w:t>
      </w:r>
      <w:r w:rsidR="0032527D">
        <w:rPr>
          <w:sz w:val="26"/>
          <w:szCs w:val="26"/>
        </w:rPr>
        <w:t>.</w:t>
      </w:r>
      <w:r w:rsidRPr="0032527D">
        <w:rPr>
          <w:sz w:val="26"/>
          <w:szCs w:val="26"/>
        </w:rPr>
        <w:t xml:space="preserve"> решение о предоставлении льготы приняли 25 субъектов РФ, при этом лишь единицы сохранили льготу в том виде, в котором она существовала ранее.</w:t>
      </w:r>
    </w:p>
    <w:p w:rsidR="00B861CC" w:rsidRPr="0032527D" w:rsidRDefault="00300685" w:rsidP="0032527D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ограничен</w:t>
      </w:r>
      <w:r w:rsidR="00DB2552" w:rsidRPr="0032527D">
        <w:rPr>
          <w:sz w:val="26"/>
          <w:szCs w:val="26"/>
        </w:rPr>
        <w:t>ие</w:t>
      </w:r>
      <w:r w:rsidRPr="0032527D">
        <w:rPr>
          <w:sz w:val="26"/>
          <w:szCs w:val="26"/>
        </w:rPr>
        <w:t xml:space="preserve"> учет</w:t>
      </w:r>
      <w:r w:rsidR="00DB2552" w:rsidRPr="0032527D">
        <w:rPr>
          <w:sz w:val="26"/>
          <w:szCs w:val="26"/>
        </w:rPr>
        <w:t>а</w:t>
      </w:r>
      <w:r w:rsidRPr="0032527D">
        <w:rPr>
          <w:sz w:val="26"/>
          <w:szCs w:val="26"/>
        </w:rPr>
        <w:t xml:space="preserve"> убытков организаций, полученных в прошлых периодах</w:t>
      </w:r>
      <w:r w:rsidR="00DB2552" w:rsidRPr="0032527D">
        <w:rPr>
          <w:sz w:val="26"/>
          <w:szCs w:val="26"/>
        </w:rPr>
        <w:t xml:space="preserve"> начиная с 2017 года</w:t>
      </w:r>
      <w:r w:rsidRPr="0032527D">
        <w:rPr>
          <w:sz w:val="26"/>
          <w:szCs w:val="26"/>
        </w:rPr>
        <w:t>;</w:t>
      </w:r>
    </w:p>
    <w:p w:rsidR="00B861CC" w:rsidRPr="0032527D" w:rsidRDefault="00B861CC" w:rsidP="0032527D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запрет на применение инвестиционного налогового вычета консолидированными группами на</w:t>
      </w:r>
      <w:r w:rsidR="00A34193" w:rsidRPr="0032527D">
        <w:rPr>
          <w:sz w:val="26"/>
          <w:szCs w:val="26"/>
        </w:rPr>
        <w:t>логоплательщиков; это 16</w:t>
      </w:r>
      <w:r w:rsidRPr="0032527D">
        <w:rPr>
          <w:sz w:val="26"/>
          <w:szCs w:val="26"/>
        </w:rPr>
        <w:t xml:space="preserve"> крупнейших холдингов страны, на которые приходятся основные инвестиции;</w:t>
      </w:r>
    </w:p>
    <w:p w:rsidR="00300685" w:rsidRPr="0032527D" w:rsidRDefault="00300685" w:rsidP="0032527D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резко</w:t>
      </w:r>
      <w:r w:rsidR="00DB2552" w:rsidRPr="0032527D">
        <w:rPr>
          <w:sz w:val="26"/>
          <w:szCs w:val="26"/>
        </w:rPr>
        <w:t>е</w:t>
      </w:r>
      <w:r w:rsidRPr="0032527D">
        <w:rPr>
          <w:sz w:val="26"/>
          <w:szCs w:val="26"/>
        </w:rPr>
        <w:t xml:space="preserve"> повышен</w:t>
      </w:r>
      <w:r w:rsidR="00DB2552" w:rsidRPr="0032527D">
        <w:rPr>
          <w:sz w:val="26"/>
          <w:szCs w:val="26"/>
        </w:rPr>
        <w:t>ие</w:t>
      </w:r>
      <w:r w:rsidRPr="0032527D">
        <w:rPr>
          <w:sz w:val="26"/>
          <w:szCs w:val="26"/>
        </w:rPr>
        <w:t xml:space="preserve"> размер</w:t>
      </w:r>
      <w:r w:rsidR="00DB2552" w:rsidRPr="0032527D">
        <w:rPr>
          <w:sz w:val="26"/>
          <w:szCs w:val="26"/>
        </w:rPr>
        <w:t>а</w:t>
      </w:r>
      <w:r w:rsidRPr="0032527D">
        <w:rPr>
          <w:sz w:val="26"/>
          <w:szCs w:val="26"/>
        </w:rPr>
        <w:t xml:space="preserve"> пени</w:t>
      </w:r>
      <w:r w:rsidR="0032527D">
        <w:rPr>
          <w:sz w:val="26"/>
          <w:szCs w:val="26"/>
        </w:rPr>
        <w:t xml:space="preserve"> – при текущей ключевой ставке </w:t>
      </w:r>
      <w:r w:rsidRPr="0032527D">
        <w:rPr>
          <w:sz w:val="26"/>
          <w:szCs w:val="26"/>
        </w:rPr>
        <w:t>(7,75%), размер пени составляет почти 22% годовых. При этом нет разграничения оснований появления задолженности: текущая задолженность, о которой налогоплательщик знает и может погасить своевременно</w:t>
      </w:r>
      <w:r w:rsidR="00DB2552" w:rsidRPr="0032527D">
        <w:rPr>
          <w:sz w:val="26"/>
          <w:szCs w:val="26"/>
        </w:rPr>
        <w:t>,</w:t>
      </w:r>
      <w:r w:rsidRPr="0032527D">
        <w:rPr>
          <w:sz w:val="26"/>
          <w:szCs w:val="26"/>
        </w:rPr>
        <w:t xml:space="preserve"> и задолженность, которая </w:t>
      </w:r>
      <w:proofErr w:type="spellStart"/>
      <w:r w:rsidRPr="0032527D">
        <w:rPr>
          <w:sz w:val="26"/>
          <w:szCs w:val="26"/>
        </w:rPr>
        <w:t>доначислена</w:t>
      </w:r>
      <w:proofErr w:type="spellEnd"/>
      <w:r w:rsidRPr="0032527D">
        <w:rPr>
          <w:sz w:val="26"/>
          <w:szCs w:val="26"/>
        </w:rPr>
        <w:t xml:space="preserve"> по итогам контрольных мероприятий (если задолженность в рамках проверки выявлена через 3 года после окончания налогового периода, пени составят более 70%). Фактически пени становятся дополнительным штрафом вместо компенсации госуда</w:t>
      </w:r>
      <w:r w:rsidR="00DB2552" w:rsidRPr="0032527D">
        <w:rPr>
          <w:sz w:val="26"/>
          <w:szCs w:val="26"/>
        </w:rPr>
        <w:t xml:space="preserve">рству за пользование деньгами. </w:t>
      </w:r>
    </w:p>
    <w:p w:rsidR="00300685" w:rsidRPr="0032527D" w:rsidRDefault="00300685" w:rsidP="0032527D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передача на региональный уровень льготы в отношении объектов, имеющих высокую энергоэффективность.</w:t>
      </w:r>
    </w:p>
    <w:p w:rsidR="00D9007B" w:rsidRPr="0032527D" w:rsidRDefault="00300685" w:rsidP="0032527D">
      <w:pPr>
        <w:spacing w:line="240" w:lineRule="auto"/>
        <w:ind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 xml:space="preserve">При этом зачастую такие ухудшающие поправки вносятся в рамках второго чтения законопроектов и не проходят общественного обсуждения. </w:t>
      </w:r>
    </w:p>
    <w:p w:rsidR="00300685" w:rsidRPr="0032527D" w:rsidRDefault="00300685" w:rsidP="0032527D">
      <w:pPr>
        <w:spacing w:line="240" w:lineRule="auto"/>
        <w:ind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Основные предложения для обеспечения стабильной и предсказуемой налоговой политики:</w:t>
      </w:r>
    </w:p>
    <w:p w:rsidR="00300685" w:rsidRPr="0032527D" w:rsidRDefault="00300685" w:rsidP="0032527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 xml:space="preserve">Введение общей нормы </w:t>
      </w:r>
      <w:r w:rsidR="00E2753E" w:rsidRPr="0032527D">
        <w:rPr>
          <w:sz w:val="26"/>
          <w:szCs w:val="26"/>
        </w:rPr>
        <w:t>«</w:t>
      </w:r>
      <w:proofErr w:type="spellStart"/>
      <w:r w:rsidRPr="0032527D">
        <w:rPr>
          <w:sz w:val="26"/>
          <w:szCs w:val="26"/>
        </w:rPr>
        <w:t>неухудшения</w:t>
      </w:r>
      <w:proofErr w:type="spellEnd"/>
      <w:r w:rsidR="00E2753E" w:rsidRPr="0032527D">
        <w:rPr>
          <w:sz w:val="26"/>
          <w:szCs w:val="26"/>
        </w:rPr>
        <w:t>»</w:t>
      </w:r>
      <w:r w:rsidRPr="0032527D">
        <w:rPr>
          <w:sz w:val="26"/>
          <w:szCs w:val="26"/>
        </w:rPr>
        <w:t xml:space="preserve"> налоговых условий в течение не менее 3 лет.  Все ухудшающие изменения налогового законодательства должны быть </w:t>
      </w:r>
      <w:r w:rsidRPr="0032527D">
        <w:rPr>
          <w:sz w:val="26"/>
          <w:szCs w:val="26"/>
        </w:rPr>
        <w:lastRenderedPageBreak/>
        <w:t>предварительно анонсированы в среднесрочной налоговой политике государства. При этом стабильность налоговой системы должна быть закреплена не идеологически, а юридически. Единственным реально работающим инструментом в настоящее время является возможность введения ухудшающих условий только со следующего налогового периода. Предлагается увеличить этот период до 3 лет – например, если решение, ухудшающее условия для бизнеса принимается в 2018 г</w:t>
      </w:r>
      <w:r w:rsidR="0032527D">
        <w:rPr>
          <w:sz w:val="26"/>
          <w:szCs w:val="26"/>
        </w:rPr>
        <w:t>.</w:t>
      </w:r>
      <w:r w:rsidRPr="0032527D">
        <w:rPr>
          <w:sz w:val="26"/>
          <w:szCs w:val="26"/>
        </w:rPr>
        <w:t xml:space="preserve">, оно может вступить в силу только с 2021 г. </w:t>
      </w:r>
    </w:p>
    <w:p w:rsidR="00300685" w:rsidRPr="0032527D" w:rsidRDefault="00300685" w:rsidP="0032527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Расширение практики применения стабилизационных норм. Предлагается распространить «дедушкину оговорку», применяемую для специальных инвестиционных контрактов, на иные налоговые режимы (</w:t>
      </w:r>
      <w:r w:rsidR="00E2753E" w:rsidRPr="0032527D">
        <w:rPr>
          <w:sz w:val="26"/>
          <w:szCs w:val="26"/>
        </w:rPr>
        <w:t>РИП, ТОР</w:t>
      </w:r>
      <w:r w:rsidRPr="0032527D">
        <w:rPr>
          <w:sz w:val="26"/>
          <w:szCs w:val="26"/>
        </w:rPr>
        <w:t xml:space="preserve">). </w:t>
      </w:r>
    </w:p>
    <w:p w:rsidR="00300685" w:rsidRPr="0032527D" w:rsidRDefault="00300685" w:rsidP="0032527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 xml:space="preserve">Общественное обсуждение поправок, вносимых ко второму чтению. </w:t>
      </w:r>
    </w:p>
    <w:p w:rsidR="00300685" w:rsidRPr="0032527D" w:rsidRDefault="00300685" w:rsidP="0032527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Вступление в силу поправок в Налоговый кодекс РФ не ранее, чем по истечени</w:t>
      </w:r>
      <w:r w:rsidR="00E2753E" w:rsidRPr="0032527D">
        <w:rPr>
          <w:sz w:val="26"/>
          <w:szCs w:val="26"/>
        </w:rPr>
        <w:t>и 3 месяцев с момента принятия.</w:t>
      </w:r>
    </w:p>
    <w:p w:rsidR="00300685" w:rsidRPr="0032527D" w:rsidRDefault="00300685" w:rsidP="0032527D">
      <w:pPr>
        <w:spacing w:line="240" w:lineRule="auto"/>
        <w:ind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Другой важнейший аспект налогообложения – стабильность правоприменительной практики.</w:t>
      </w:r>
    </w:p>
    <w:p w:rsidR="00300685" w:rsidRPr="0032527D" w:rsidRDefault="00300685" w:rsidP="0032527D">
      <w:pPr>
        <w:spacing w:line="240" w:lineRule="auto"/>
        <w:ind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 xml:space="preserve">Зачастую нормы Налогового кодекса не меняются, налогоплательщикам не предъявляют каких-либо претензий в рамках налоговых проверок по применению установленных норм, но появляется какое-либо решение арбитражного суда, Верховного суда, разъяснение ФНС России или Минфина России, и новый подход к трактовке законодательства </w:t>
      </w:r>
      <w:proofErr w:type="spellStart"/>
      <w:r w:rsidRPr="0032527D">
        <w:rPr>
          <w:sz w:val="26"/>
          <w:szCs w:val="26"/>
        </w:rPr>
        <w:t>каскадируется</w:t>
      </w:r>
      <w:proofErr w:type="spellEnd"/>
      <w:r w:rsidRPr="0032527D">
        <w:rPr>
          <w:sz w:val="26"/>
          <w:szCs w:val="26"/>
        </w:rPr>
        <w:t xml:space="preserve"> на налоговые периоды, не закрытые налоговыми проверками. </w:t>
      </w:r>
    </w:p>
    <w:p w:rsidR="00300685" w:rsidRPr="0032527D" w:rsidRDefault="00300685" w:rsidP="0032527D">
      <w:pPr>
        <w:spacing w:line="240" w:lineRule="auto"/>
        <w:ind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В связи с этим предлагается:</w:t>
      </w:r>
    </w:p>
    <w:p w:rsidR="00E2753E" w:rsidRPr="0032527D" w:rsidRDefault="00300685" w:rsidP="0032527D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Если налогоплательщик применял нормы Налогового кодекса и к нему не было претензий со стороны налоговых органов, при появлении решений Верховного суда, новых позиций финансовых органов, такая позиция применяет</w:t>
      </w:r>
      <w:r w:rsidR="00E2753E" w:rsidRPr="0032527D">
        <w:rPr>
          <w:sz w:val="26"/>
          <w:szCs w:val="26"/>
        </w:rPr>
        <w:t>ся с нового налогового периода.</w:t>
      </w:r>
    </w:p>
    <w:p w:rsidR="00E2753E" w:rsidRPr="0032527D" w:rsidRDefault="00A12330" w:rsidP="0032527D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Запрет на рет</w:t>
      </w:r>
      <w:r w:rsidR="00300685" w:rsidRPr="0032527D">
        <w:rPr>
          <w:sz w:val="26"/>
          <w:szCs w:val="26"/>
        </w:rPr>
        <w:t>роспективное применение изменений налогового законодательства.</w:t>
      </w:r>
    </w:p>
    <w:p w:rsidR="00D710F4" w:rsidRPr="0032527D" w:rsidRDefault="00300685" w:rsidP="0032527D">
      <w:pPr>
        <w:spacing w:line="240" w:lineRule="auto"/>
        <w:ind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Введение безотзывных налоговых «</w:t>
      </w:r>
      <w:proofErr w:type="spellStart"/>
      <w:r w:rsidRPr="0032527D">
        <w:rPr>
          <w:sz w:val="26"/>
          <w:szCs w:val="26"/>
        </w:rPr>
        <w:t>рулингов</w:t>
      </w:r>
      <w:proofErr w:type="spellEnd"/>
      <w:r w:rsidRPr="0032527D">
        <w:rPr>
          <w:sz w:val="26"/>
          <w:szCs w:val="26"/>
        </w:rPr>
        <w:t>» (мотивированных мнений налоговых органов по спорным вопросам законодательства), сейчас возможность получить мотивированное мнение возможно только в</w:t>
      </w:r>
      <w:r w:rsidR="00E2753E" w:rsidRPr="0032527D">
        <w:rPr>
          <w:sz w:val="26"/>
          <w:szCs w:val="26"/>
        </w:rPr>
        <w:t xml:space="preserve"> режиме налогового мониторинга.</w:t>
      </w:r>
      <w:r w:rsidR="00D710F4" w:rsidRPr="0032527D">
        <w:rPr>
          <w:sz w:val="26"/>
          <w:szCs w:val="26"/>
        </w:rPr>
        <w:t xml:space="preserve"> </w:t>
      </w:r>
    </w:p>
    <w:p w:rsidR="00D710F4" w:rsidRPr="0032527D" w:rsidRDefault="00D710F4" w:rsidP="0032527D">
      <w:pPr>
        <w:spacing w:line="240" w:lineRule="auto"/>
        <w:ind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>В конце декабря 2017 г</w:t>
      </w:r>
      <w:r w:rsidR="0032527D">
        <w:rPr>
          <w:sz w:val="26"/>
          <w:szCs w:val="26"/>
        </w:rPr>
        <w:t>.</w:t>
      </w:r>
      <w:r w:rsidRPr="0032527D">
        <w:rPr>
          <w:sz w:val="26"/>
          <w:szCs w:val="26"/>
        </w:rPr>
        <w:t xml:space="preserve"> был подписан закон, освобождающий физических лиц и индивидуальных предпринимателей от выплаты налоговой задолженности, возникшей в предыдущие годы в силу различных непредвиденных обстоятельств.</w:t>
      </w:r>
    </w:p>
    <w:p w:rsidR="00D710F4" w:rsidRPr="0032527D" w:rsidRDefault="002D3CCB" w:rsidP="0032527D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527D">
        <w:rPr>
          <w:rFonts w:ascii="Times New Roman" w:eastAsiaTheme="minorHAnsi" w:hAnsi="Times New Roman"/>
          <w:sz w:val="26"/>
          <w:szCs w:val="26"/>
          <w:lang w:eastAsia="en-US"/>
        </w:rPr>
        <w:t xml:space="preserve">Реструктуризация подобной задолженности </w:t>
      </w:r>
      <w:r w:rsidR="00D710F4" w:rsidRPr="0032527D">
        <w:rPr>
          <w:rFonts w:ascii="Times New Roman" w:eastAsiaTheme="minorHAnsi" w:hAnsi="Times New Roman"/>
          <w:sz w:val="26"/>
          <w:szCs w:val="26"/>
          <w:lang w:eastAsia="en-US"/>
        </w:rPr>
        <w:t>юридических лиц, позволит многим отечественным предприятиям избежать сползания в процедуру банкротства и получить возможность выйти из создавшегося неблагоприятного положения, сохранив свою хозяйственную деятельность. Такой подход, в конечном счете, в большей степени отвечает интересам бюджета, так как позволит сохранить действующие предприятия, которые в перспективе обеспечат поступления в бюджет.</w:t>
      </w:r>
      <w:r w:rsidR="00BA2592">
        <w:rPr>
          <w:rFonts w:ascii="Times New Roman" w:eastAsiaTheme="minorHAnsi" w:hAnsi="Times New Roman"/>
          <w:sz w:val="26"/>
          <w:szCs w:val="26"/>
          <w:lang w:eastAsia="en-US"/>
        </w:rPr>
        <w:t xml:space="preserve"> Также целесообразно обратиться в профильные органы власти с просьбой предоставить </w:t>
      </w:r>
      <w:r w:rsidR="00BA2592" w:rsidRPr="00BA2592">
        <w:rPr>
          <w:rFonts w:ascii="Times New Roman" w:eastAsiaTheme="minorHAnsi" w:hAnsi="Times New Roman"/>
          <w:sz w:val="26"/>
          <w:szCs w:val="26"/>
          <w:lang w:eastAsia="en-US"/>
        </w:rPr>
        <w:t>данны</w:t>
      </w:r>
      <w:r w:rsidR="00BA2592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BA2592" w:rsidRPr="00BA2592">
        <w:rPr>
          <w:rFonts w:ascii="Times New Roman" w:eastAsiaTheme="minorHAnsi" w:hAnsi="Times New Roman"/>
          <w:sz w:val="26"/>
          <w:szCs w:val="26"/>
          <w:lang w:eastAsia="en-US"/>
        </w:rPr>
        <w:t xml:space="preserve"> о структуре налоговой задолженности (времени появления и т.д.)</w:t>
      </w:r>
      <w:r w:rsidR="00BA2592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</w:t>
      </w:r>
      <w:r w:rsidR="00BA2592" w:rsidRPr="00BA2592">
        <w:rPr>
          <w:rFonts w:ascii="Times New Roman" w:eastAsiaTheme="minorHAnsi" w:hAnsi="Times New Roman"/>
          <w:sz w:val="26"/>
          <w:szCs w:val="26"/>
          <w:lang w:eastAsia="en-US"/>
        </w:rPr>
        <w:t>проработ</w:t>
      </w:r>
      <w:r w:rsidR="00BA2592">
        <w:rPr>
          <w:rFonts w:ascii="Times New Roman" w:eastAsiaTheme="minorHAnsi" w:hAnsi="Times New Roman"/>
          <w:sz w:val="26"/>
          <w:szCs w:val="26"/>
          <w:lang w:eastAsia="en-US"/>
        </w:rPr>
        <w:t>ки</w:t>
      </w:r>
      <w:r w:rsidR="00BA2592" w:rsidRPr="00BA2592">
        <w:rPr>
          <w:rFonts w:ascii="Times New Roman" w:eastAsiaTheme="minorHAnsi" w:hAnsi="Times New Roman"/>
          <w:sz w:val="26"/>
          <w:szCs w:val="26"/>
          <w:lang w:eastAsia="en-US"/>
        </w:rPr>
        <w:t xml:space="preserve"> критери</w:t>
      </w:r>
      <w:r w:rsidR="00BA2592">
        <w:rPr>
          <w:rFonts w:ascii="Times New Roman" w:eastAsiaTheme="minorHAnsi" w:hAnsi="Times New Roman"/>
          <w:sz w:val="26"/>
          <w:szCs w:val="26"/>
          <w:lang w:eastAsia="en-US"/>
        </w:rPr>
        <w:t>ев</w:t>
      </w:r>
      <w:r w:rsidR="00BA2592" w:rsidRPr="00BA259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предполагаемой «амнистии».</w:t>
      </w:r>
    </w:p>
    <w:p w:rsidR="00E537A9" w:rsidRPr="0032527D" w:rsidRDefault="00E32783" w:rsidP="0032527D">
      <w:pPr>
        <w:pStyle w:val="a3"/>
        <w:ind w:left="0" w:firstLine="709"/>
        <w:jc w:val="both"/>
        <w:rPr>
          <w:color w:val="000000"/>
          <w:sz w:val="26"/>
          <w:szCs w:val="26"/>
        </w:rPr>
      </w:pPr>
      <w:r w:rsidRPr="0032527D">
        <w:rPr>
          <w:rStyle w:val="a7"/>
          <w:b w:val="0"/>
          <w:color w:val="000000"/>
          <w:sz w:val="26"/>
          <w:szCs w:val="26"/>
        </w:rPr>
        <w:t>Последнее время</w:t>
      </w:r>
      <w:r w:rsidR="002679B2" w:rsidRPr="0032527D">
        <w:rPr>
          <w:rStyle w:val="a7"/>
          <w:b w:val="0"/>
          <w:color w:val="000000"/>
          <w:sz w:val="26"/>
          <w:szCs w:val="26"/>
        </w:rPr>
        <w:t xml:space="preserve"> широкому обсуждению подвергся вопрос</w:t>
      </w:r>
      <w:r w:rsidR="00801F09" w:rsidRPr="0032527D">
        <w:rPr>
          <w:rStyle w:val="a7"/>
          <w:b w:val="0"/>
          <w:color w:val="000000"/>
          <w:sz w:val="26"/>
          <w:szCs w:val="26"/>
        </w:rPr>
        <w:t xml:space="preserve"> </w:t>
      </w:r>
      <w:r w:rsidRPr="0032527D">
        <w:rPr>
          <w:rStyle w:val="a7"/>
          <w:b w:val="0"/>
          <w:color w:val="000000"/>
          <w:sz w:val="26"/>
          <w:szCs w:val="26"/>
        </w:rPr>
        <w:t>«</w:t>
      </w:r>
      <w:r w:rsidR="002679B2" w:rsidRPr="0032527D">
        <w:rPr>
          <w:rStyle w:val="a7"/>
          <w:b w:val="0"/>
          <w:color w:val="000000"/>
          <w:sz w:val="26"/>
          <w:szCs w:val="26"/>
        </w:rPr>
        <w:t>амнистии</w:t>
      </w:r>
      <w:r w:rsidR="00801F09" w:rsidRPr="0032527D">
        <w:rPr>
          <w:rStyle w:val="a7"/>
          <w:b w:val="0"/>
          <w:color w:val="000000"/>
          <w:sz w:val="26"/>
          <w:szCs w:val="26"/>
        </w:rPr>
        <w:t xml:space="preserve"> капиталов</w:t>
      </w:r>
      <w:r w:rsidR="00571780" w:rsidRPr="0032527D">
        <w:rPr>
          <w:rStyle w:val="a7"/>
          <w:b w:val="0"/>
          <w:color w:val="000000"/>
          <w:sz w:val="26"/>
          <w:szCs w:val="26"/>
        </w:rPr>
        <w:t>», в</w:t>
      </w:r>
      <w:r w:rsidR="00571780" w:rsidRPr="0032527D">
        <w:rPr>
          <w:color w:val="000000"/>
          <w:sz w:val="26"/>
          <w:szCs w:val="26"/>
        </w:rPr>
        <w:t>торой этап которой,</w:t>
      </w:r>
      <w:r w:rsidR="00E537A9" w:rsidRPr="0032527D">
        <w:rPr>
          <w:color w:val="000000"/>
          <w:sz w:val="26"/>
          <w:szCs w:val="26"/>
        </w:rPr>
        <w:t xml:space="preserve"> должен начаться</w:t>
      </w:r>
      <w:r w:rsidR="00801F09" w:rsidRPr="0032527D">
        <w:rPr>
          <w:color w:val="000000"/>
          <w:sz w:val="26"/>
          <w:szCs w:val="26"/>
        </w:rPr>
        <w:t xml:space="preserve"> 1 марта 2018 г</w:t>
      </w:r>
      <w:r w:rsidR="0032527D">
        <w:rPr>
          <w:color w:val="000000"/>
          <w:sz w:val="26"/>
          <w:szCs w:val="26"/>
        </w:rPr>
        <w:t>.</w:t>
      </w:r>
      <w:r w:rsidR="00801F09" w:rsidRPr="0032527D">
        <w:rPr>
          <w:color w:val="000000"/>
          <w:sz w:val="26"/>
          <w:szCs w:val="26"/>
        </w:rPr>
        <w:t xml:space="preserve"> и продлиться до 28 февраля 2019 г</w:t>
      </w:r>
      <w:r w:rsidR="0032527D">
        <w:rPr>
          <w:color w:val="000000"/>
          <w:sz w:val="26"/>
          <w:szCs w:val="26"/>
        </w:rPr>
        <w:t>.</w:t>
      </w:r>
      <w:r w:rsidR="00801F09" w:rsidRPr="0032527D">
        <w:rPr>
          <w:color w:val="000000"/>
          <w:sz w:val="26"/>
          <w:szCs w:val="26"/>
        </w:rPr>
        <w:t xml:space="preserve">, </w:t>
      </w:r>
      <w:r w:rsidR="00571780" w:rsidRPr="0032527D">
        <w:rPr>
          <w:color w:val="000000"/>
          <w:sz w:val="26"/>
          <w:szCs w:val="26"/>
        </w:rPr>
        <w:t xml:space="preserve">как </w:t>
      </w:r>
      <w:r w:rsidR="00801F09" w:rsidRPr="0032527D">
        <w:rPr>
          <w:color w:val="000000"/>
          <w:sz w:val="26"/>
          <w:szCs w:val="26"/>
        </w:rPr>
        <w:t xml:space="preserve">следует </w:t>
      </w:r>
      <w:r w:rsidR="00E537A9" w:rsidRPr="0032527D">
        <w:rPr>
          <w:color w:val="000000"/>
          <w:sz w:val="26"/>
          <w:szCs w:val="26"/>
        </w:rPr>
        <w:t>из внесенного в Госдуму 31 января</w:t>
      </w:r>
      <w:r w:rsidR="00D026E2" w:rsidRPr="0032527D">
        <w:rPr>
          <w:color w:val="000000"/>
          <w:sz w:val="26"/>
          <w:szCs w:val="26"/>
        </w:rPr>
        <w:t xml:space="preserve"> пакета законопроектов.</w:t>
      </w:r>
    </w:p>
    <w:p w:rsidR="007E6808" w:rsidRDefault="00D026E2" w:rsidP="0032527D">
      <w:pPr>
        <w:spacing w:line="240" w:lineRule="auto"/>
        <w:ind w:firstLine="709"/>
        <w:jc w:val="both"/>
        <w:rPr>
          <w:sz w:val="26"/>
          <w:szCs w:val="26"/>
        </w:rPr>
      </w:pPr>
      <w:r w:rsidRPr="0032527D">
        <w:rPr>
          <w:sz w:val="26"/>
          <w:szCs w:val="26"/>
        </w:rPr>
        <w:t xml:space="preserve">Однако, </w:t>
      </w:r>
      <w:r w:rsidR="00A23E92" w:rsidRPr="0032527D">
        <w:rPr>
          <w:sz w:val="26"/>
          <w:szCs w:val="26"/>
        </w:rPr>
        <w:t xml:space="preserve">своеобразным тормозом «амнистии» может послужить опасение </w:t>
      </w:r>
      <w:r w:rsidRPr="0032527D">
        <w:rPr>
          <w:sz w:val="26"/>
          <w:szCs w:val="26"/>
        </w:rPr>
        <w:t>бизнес</w:t>
      </w:r>
      <w:r w:rsidR="00A23E92" w:rsidRPr="0032527D">
        <w:rPr>
          <w:sz w:val="26"/>
          <w:szCs w:val="26"/>
        </w:rPr>
        <w:t xml:space="preserve">а быть привлеченным к уголовной ответственности по статьям за </w:t>
      </w:r>
      <w:r w:rsidR="00A23E92" w:rsidRPr="0032527D">
        <w:rPr>
          <w:sz w:val="26"/>
          <w:szCs w:val="26"/>
        </w:rPr>
        <w:lastRenderedPageBreak/>
        <w:t>мошенничество и легализацию (отмывание) доход</w:t>
      </w:r>
      <w:r w:rsidR="002679B2" w:rsidRPr="0032527D">
        <w:rPr>
          <w:sz w:val="26"/>
          <w:szCs w:val="26"/>
        </w:rPr>
        <w:t>ов, полученных преступным путем. Для того, чтобы достичь максимальной эффективности, необходимо продлить действие амнистии до 1 января 202</w:t>
      </w:r>
      <w:r w:rsidR="006C54BA">
        <w:rPr>
          <w:sz w:val="26"/>
          <w:szCs w:val="26"/>
        </w:rPr>
        <w:t>1</w:t>
      </w:r>
      <w:r w:rsidR="002679B2" w:rsidRPr="0032527D">
        <w:rPr>
          <w:sz w:val="26"/>
          <w:szCs w:val="26"/>
        </w:rPr>
        <w:t xml:space="preserve"> г.</w:t>
      </w:r>
    </w:p>
    <w:p w:rsidR="005F3D7B" w:rsidRPr="005F3D7B" w:rsidRDefault="005F3D7B" w:rsidP="005F3D7B">
      <w:pPr>
        <w:spacing w:line="240" w:lineRule="auto"/>
        <w:ind w:firstLine="709"/>
        <w:jc w:val="both"/>
        <w:rPr>
          <w:sz w:val="26"/>
          <w:szCs w:val="26"/>
        </w:rPr>
      </w:pPr>
      <w:r w:rsidRPr="005F3D7B">
        <w:rPr>
          <w:sz w:val="26"/>
          <w:szCs w:val="26"/>
        </w:rPr>
        <w:t xml:space="preserve">С учетом развивающегося товарооборота в </w:t>
      </w:r>
      <w:r w:rsidR="00174609">
        <w:rPr>
          <w:sz w:val="26"/>
          <w:szCs w:val="26"/>
        </w:rPr>
        <w:t>странах ЕАЭС</w:t>
      </w:r>
      <w:r w:rsidRPr="005F3D7B">
        <w:rPr>
          <w:sz w:val="26"/>
          <w:szCs w:val="26"/>
        </w:rPr>
        <w:t xml:space="preserve">, с одной стороны, замедления темпов роста доходов населения и рисков развития серого рынка: </w:t>
      </w:r>
    </w:p>
    <w:p w:rsidR="005F3D7B" w:rsidRPr="005F3D7B" w:rsidRDefault="005F3D7B" w:rsidP="005F3D7B">
      <w:pPr>
        <w:spacing w:line="240" w:lineRule="auto"/>
        <w:ind w:firstLine="709"/>
        <w:jc w:val="both"/>
        <w:rPr>
          <w:sz w:val="26"/>
          <w:szCs w:val="26"/>
        </w:rPr>
      </w:pPr>
      <w:r w:rsidRPr="005F3D7B">
        <w:rPr>
          <w:sz w:val="26"/>
          <w:szCs w:val="26"/>
        </w:rPr>
        <w:t xml:space="preserve">1. Гармонизировать акцизные ставки в странах </w:t>
      </w:r>
      <w:r w:rsidR="00174609">
        <w:rPr>
          <w:sz w:val="26"/>
          <w:szCs w:val="26"/>
        </w:rPr>
        <w:t>ЕАЭС</w:t>
      </w:r>
      <w:r w:rsidRPr="005F3D7B">
        <w:rPr>
          <w:sz w:val="26"/>
          <w:szCs w:val="26"/>
        </w:rPr>
        <w:t xml:space="preserve"> (Прежде всего /на первом этапе</w:t>
      </w:r>
      <w:r>
        <w:rPr>
          <w:sz w:val="26"/>
          <w:szCs w:val="26"/>
        </w:rPr>
        <w:t xml:space="preserve"> </w:t>
      </w:r>
      <w:r w:rsidRPr="005F3D7B">
        <w:rPr>
          <w:sz w:val="26"/>
          <w:szCs w:val="26"/>
        </w:rPr>
        <w:t xml:space="preserve">- РФ, Казахстан, Беларусь) с учетом сегодняшних доходов населения в этих странах. Сохранение в РФ высоких ставок акцизов на алкогольную продукцию по сравнению со ставками акцизов в Казахстане и Белоруссии создаёт экономически выгодные условия для роста серого рынка. Считаем необходимым отметить, что применение единых принципов и подходов в формировании акцизной политики на территории </w:t>
      </w:r>
      <w:r w:rsidR="00174609">
        <w:rPr>
          <w:sz w:val="26"/>
          <w:szCs w:val="26"/>
        </w:rPr>
        <w:t>ЕАЭС</w:t>
      </w:r>
      <w:r w:rsidRPr="005F3D7B">
        <w:rPr>
          <w:sz w:val="26"/>
          <w:szCs w:val="26"/>
        </w:rPr>
        <w:t xml:space="preserve"> позволит ускорить развитие свободной торговли, при которой для резидентов любой из стран будут созданы равные и понятные условия ведения бизнеса. </w:t>
      </w:r>
    </w:p>
    <w:p w:rsidR="005F3D7B" w:rsidRPr="0032527D" w:rsidRDefault="005F3D7B" w:rsidP="005F3D7B">
      <w:pPr>
        <w:spacing w:line="240" w:lineRule="auto"/>
        <w:ind w:firstLine="709"/>
        <w:jc w:val="both"/>
        <w:rPr>
          <w:sz w:val="26"/>
          <w:szCs w:val="26"/>
        </w:rPr>
      </w:pPr>
      <w:r w:rsidRPr="005F3D7B">
        <w:rPr>
          <w:sz w:val="26"/>
          <w:szCs w:val="26"/>
        </w:rPr>
        <w:t xml:space="preserve">2. В среднесрочной перспективе (2019-2022гг) перейти к среднеевропейским пропорциям между акцизами на продукцию с пониженным и повышенным содержанием </w:t>
      </w:r>
      <w:proofErr w:type="gramStart"/>
      <w:r w:rsidRPr="005F3D7B">
        <w:rPr>
          <w:sz w:val="26"/>
          <w:szCs w:val="26"/>
        </w:rPr>
        <w:t>алкоголя</w:t>
      </w:r>
      <w:proofErr w:type="gramEnd"/>
      <w:r w:rsidRPr="005F3D7B">
        <w:rPr>
          <w:sz w:val="26"/>
          <w:szCs w:val="26"/>
        </w:rPr>
        <w:t xml:space="preserve"> а именно 1:3.</w:t>
      </w:r>
    </w:p>
    <w:sectPr w:rsidR="005F3D7B" w:rsidRPr="0032527D" w:rsidSect="0032527D">
      <w:pgSz w:w="11906" w:h="16838"/>
      <w:pgMar w:top="851" w:right="991" w:bottom="993" w:left="119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6A6"/>
    <w:multiLevelType w:val="hybridMultilevel"/>
    <w:tmpl w:val="5D46CFE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0E84F45"/>
    <w:multiLevelType w:val="hybridMultilevel"/>
    <w:tmpl w:val="31144C2C"/>
    <w:lvl w:ilvl="0" w:tplc="399C7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315CEF"/>
    <w:multiLevelType w:val="hybridMultilevel"/>
    <w:tmpl w:val="AB9CF034"/>
    <w:lvl w:ilvl="0" w:tplc="827406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5B54"/>
    <w:multiLevelType w:val="hybridMultilevel"/>
    <w:tmpl w:val="0738440A"/>
    <w:lvl w:ilvl="0" w:tplc="827406E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EE5F2A"/>
    <w:multiLevelType w:val="hybridMultilevel"/>
    <w:tmpl w:val="303003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4C52E39"/>
    <w:multiLevelType w:val="hybridMultilevel"/>
    <w:tmpl w:val="0BA4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45A6C"/>
    <w:multiLevelType w:val="hybridMultilevel"/>
    <w:tmpl w:val="2EC8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161C3E"/>
    <w:multiLevelType w:val="hybridMultilevel"/>
    <w:tmpl w:val="B714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86"/>
    <w:rsid w:val="00000306"/>
    <w:rsid w:val="000A2902"/>
    <w:rsid w:val="000E2DC8"/>
    <w:rsid w:val="00127233"/>
    <w:rsid w:val="00172B45"/>
    <w:rsid w:val="00174609"/>
    <w:rsid w:val="001826F8"/>
    <w:rsid w:val="00256386"/>
    <w:rsid w:val="002679B2"/>
    <w:rsid w:val="002D3CCB"/>
    <w:rsid w:val="00300685"/>
    <w:rsid w:val="0032527D"/>
    <w:rsid w:val="003F3C6D"/>
    <w:rsid w:val="004123C4"/>
    <w:rsid w:val="00451B33"/>
    <w:rsid w:val="0046364E"/>
    <w:rsid w:val="004B006E"/>
    <w:rsid w:val="004C63EA"/>
    <w:rsid w:val="004D5B26"/>
    <w:rsid w:val="004E6C32"/>
    <w:rsid w:val="00571780"/>
    <w:rsid w:val="005F3D7B"/>
    <w:rsid w:val="00640526"/>
    <w:rsid w:val="006531AA"/>
    <w:rsid w:val="00660010"/>
    <w:rsid w:val="006A699F"/>
    <w:rsid w:val="006B72FF"/>
    <w:rsid w:val="006C0BF2"/>
    <w:rsid w:val="006C54BA"/>
    <w:rsid w:val="00722B16"/>
    <w:rsid w:val="00723861"/>
    <w:rsid w:val="007A64C7"/>
    <w:rsid w:val="007E6808"/>
    <w:rsid w:val="00801F09"/>
    <w:rsid w:val="0086518E"/>
    <w:rsid w:val="0088498E"/>
    <w:rsid w:val="008D08AA"/>
    <w:rsid w:val="0095666F"/>
    <w:rsid w:val="009B0439"/>
    <w:rsid w:val="009F113D"/>
    <w:rsid w:val="00A12330"/>
    <w:rsid w:val="00A23E92"/>
    <w:rsid w:val="00A34193"/>
    <w:rsid w:val="00A930E3"/>
    <w:rsid w:val="00B36810"/>
    <w:rsid w:val="00B74295"/>
    <w:rsid w:val="00B861CC"/>
    <w:rsid w:val="00BA2592"/>
    <w:rsid w:val="00C1236E"/>
    <w:rsid w:val="00C85B93"/>
    <w:rsid w:val="00D026E2"/>
    <w:rsid w:val="00D35686"/>
    <w:rsid w:val="00D710F4"/>
    <w:rsid w:val="00D9007B"/>
    <w:rsid w:val="00DA0794"/>
    <w:rsid w:val="00DB2552"/>
    <w:rsid w:val="00DC3F56"/>
    <w:rsid w:val="00DD347F"/>
    <w:rsid w:val="00E2753E"/>
    <w:rsid w:val="00E32783"/>
    <w:rsid w:val="00E537A9"/>
    <w:rsid w:val="00E73CE1"/>
    <w:rsid w:val="00F57AC7"/>
    <w:rsid w:val="00FC6F0D"/>
    <w:rsid w:val="00FD10B1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A8360-6377-4668-ADF4-52D77872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95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295"/>
    <w:pPr>
      <w:spacing w:line="240" w:lineRule="auto"/>
      <w:ind w:left="720"/>
      <w:contextualSpacing/>
    </w:pPr>
    <w:rPr>
      <w:szCs w:val="22"/>
    </w:rPr>
  </w:style>
  <w:style w:type="paragraph" w:customStyle="1" w:styleId="1">
    <w:name w:val="Обычный1"/>
    <w:basedOn w:val="a"/>
    <w:rsid w:val="00B36810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9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99F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01F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1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FBK Grant Thornton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 Вениамин Владиславович</dc:creator>
  <cp:lastModifiedBy>РК Союз Промышленников</cp:lastModifiedBy>
  <cp:revision>2</cp:revision>
  <dcterms:created xsi:type="dcterms:W3CDTF">2018-02-06T11:26:00Z</dcterms:created>
  <dcterms:modified xsi:type="dcterms:W3CDTF">2018-02-06T11:26:00Z</dcterms:modified>
</cp:coreProperties>
</file>